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DDC5C1" w14:textId="77777777" w:rsidR="00DF08CE" w:rsidRDefault="00DF08CE">
      <w:pPr>
        <w:pBdr>
          <w:top w:val="nil"/>
          <w:left w:val="nil"/>
          <w:bottom w:val="nil"/>
          <w:right w:val="nil"/>
          <w:between w:val="nil"/>
        </w:pBdr>
        <w:spacing w:after="240" w:line="275" w:lineRule="auto"/>
        <w:rPr>
          <w:color w:val="000000"/>
        </w:rPr>
      </w:pPr>
    </w:p>
    <w:p w14:paraId="3DF82679" w14:textId="77777777" w:rsidR="00DF08CE" w:rsidRDefault="00000000">
      <w:pPr>
        <w:pStyle w:val="Ttulo1"/>
        <w:spacing w:before="0" w:after="120" w:line="275" w:lineRule="auto"/>
        <w:rPr>
          <w:rFonts w:ascii="Google Sans" w:eastAsia="Google Sans" w:hAnsi="Google Sans" w:cs="Google Sans"/>
          <w:color w:val="1B1C1D"/>
        </w:rPr>
      </w:pPr>
      <w:r>
        <w:rPr>
          <w:rFonts w:ascii="Google Sans" w:eastAsia="Google Sans" w:hAnsi="Google Sans" w:cs="Google Sans"/>
          <w:color w:val="1B1C1D"/>
        </w:rPr>
        <w:t>Análisis y Verificación de Previsiones Macroeconómicas Globales: Julio de 2025</w:t>
      </w:r>
    </w:p>
    <w:p w14:paraId="73E8D3FC" w14:textId="77777777" w:rsidR="00DF08CE" w:rsidRDefault="00DF08CE">
      <w:pPr>
        <w:pBdr>
          <w:top w:val="nil"/>
          <w:left w:val="nil"/>
          <w:bottom w:val="nil"/>
          <w:right w:val="nil"/>
          <w:between w:val="nil"/>
        </w:pBdr>
        <w:spacing w:after="240" w:line="275" w:lineRule="auto"/>
        <w:rPr>
          <w:rFonts w:ascii="Google Sans" w:eastAsia="Google Sans" w:hAnsi="Google Sans" w:cs="Google Sans"/>
          <w:color w:val="1B1C1D"/>
        </w:rPr>
      </w:pPr>
    </w:p>
    <w:p w14:paraId="46195731" w14:textId="77777777" w:rsidR="00DF08CE" w:rsidRDefault="00DF08CE">
      <w:pPr>
        <w:pBdr>
          <w:top w:val="nil"/>
          <w:left w:val="nil"/>
          <w:bottom w:val="nil"/>
          <w:right w:val="nil"/>
          <w:between w:val="nil"/>
        </w:pBdr>
        <w:spacing w:after="240" w:line="275" w:lineRule="auto"/>
        <w:rPr>
          <w:rFonts w:ascii="Google Sans" w:eastAsia="Google Sans" w:hAnsi="Google Sans" w:cs="Google Sans"/>
          <w:color w:val="1B1C1D"/>
        </w:rPr>
      </w:pPr>
    </w:p>
    <w:p w14:paraId="5532DB53" w14:textId="77777777" w:rsidR="00DF08CE" w:rsidRDefault="00000000">
      <w:pPr>
        <w:pStyle w:val="Ttulo2"/>
        <w:spacing w:before="0" w:after="120" w:line="275" w:lineRule="auto"/>
        <w:rPr>
          <w:rFonts w:ascii="Google Sans" w:eastAsia="Google Sans" w:hAnsi="Google Sans" w:cs="Google Sans"/>
          <w:color w:val="1B1C1D"/>
        </w:rPr>
      </w:pPr>
      <w:r>
        <w:rPr>
          <w:rFonts w:ascii="Google Sans" w:eastAsia="Google Sans" w:hAnsi="Google Sans" w:cs="Google Sans"/>
          <w:color w:val="1B1C1D"/>
        </w:rPr>
        <w:t>Resumen Ejecutivo: Navegando un Panorama de Fortunas Divergentes e Incertidumbre Penetrante</w:t>
      </w:r>
    </w:p>
    <w:p w14:paraId="1B14E7E8" w14:textId="77777777" w:rsidR="00DF08CE" w:rsidRDefault="00DF08CE">
      <w:pPr>
        <w:pBdr>
          <w:top w:val="nil"/>
          <w:left w:val="nil"/>
          <w:bottom w:val="nil"/>
          <w:right w:val="nil"/>
          <w:between w:val="nil"/>
        </w:pBdr>
        <w:spacing w:after="240" w:line="275" w:lineRule="auto"/>
        <w:rPr>
          <w:rFonts w:ascii="Google Sans" w:eastAsia="Google Sans" w:hAnsi="Google Sans" w:cs="Google Sans"/>
          <w:color w:val="1B1C1D"/>
        </w:rPr>
      </w:pPr>
    </w:p>
    <w:p w14:paraId="0C116037"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Las últimas previsiones macroeconómicas del Fondo Monetario Internacional (FMI), la Organización para la Cooperación y el Desarrollo Económicos (OCDE) y el Banco Central Europeo (BCE) dibujan un panorama económico mundial complejo y lleno de contrastes. Aunque se observan focos de resiliencia, la narrativa dominante es la de una divergencia creciente entre las principales economías y una atmósfera de incertidumbre generalizada, impulsada en gran medida por la imprevisibilidad de las políticas comerciales.</w:t>
      </w:r>
    </w:p>
    <w:p w14:paraId="11A4C28C"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Los hallazgos centrales de este análisis revelan una modesta mejora en las perspectivas de crecimiento global para 2025, según la actualización de julio del FMI, que eleva su previsión al 3.0%.</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Sin embargo, esta revisión al alza se debe en gran parte a factores temporales, como la "carga adelantada" de importaciones en anticipación a aranceles, en lugar de una fortaleza económica subyacente. La OCDE, en su informe de junio, mantiene una postura más cautelosa, proyectando un crecimiento global del 2.9% tanto para 2025 como para 2026, citando un entorno "cada vez más desafiante".</w:t>
      </w:r>
      <w:r>
        <w:rPr>
          <w:rFonts w:ascii="Google Sans Text" w:eastAsia="Google Sans Text" w:hAnsi="Google Sans Text" w:cs="Google Sans Text"/>
          <w:color w:val="575B5F"/>
          <w:sz w:val="24"/>
          <w:szCs w:val="24"/>
          <w:vertAlign w:val="superscript"/>
        </w:rPr>
        <w:t>3</w:t>
      </w:r>
    </w:p>
    <w:p w14:paraId="78C840E9"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 nivel global, la inflación general continúa su trayectoria descendente, pero la inflación subyacente demuestra una persistencia notable, lo que complica la normalización de la política monetaria de los bancos centrales. En este contexto, España emerge como una excepción positiva entre las economías avanzadas. Con una previsión de crecimiento del FMI del 2.5% para 2025, supera significativamente la media de la Zona </w:t>
      </w:r>
      <w:proofErr w:type="gramStart"/>
      <w:r>
        <w:rPr>
          <w:rFonts w:ascii="Google Sans Text" w:eastAsia="Google Sans Text" w:hAnsi="Google Sans Text" w:cs="Google Sans Text"/>
          <w:color w:val="1B1C1D"/>
        </w:rPr>
        <w:t>Euro</w:t>
      </w:r>
      <w:proofErr w:type="gramEnd"/>
      <w:r>
        <w:rPr>
          <w:rFonts w:ascii="Google Sans Text" w:eastAsia="Google Sans Text" w:hAnsi="Google Sans Text" w:cs="Google Sans Text"/>
          <w:color w:val="1B1C1D"/>
        </w:rPr>
        <w:t>, que se sitúa en torno al 0.9%.</w:t>
      </w:r>
      <w:r>
        <w:rPr>
          <w:rFonts w:ascii="Google Sans Text" w:eastAsia="Google Sans Text" w:hAnsi="Google Sans Text" w:cs="Google Sans Text"/>
          <w:color w:val="575B5F"/>
          <w:sz w:val="24"/>
          <w:szCs w:val="24"/>
          <w:vertAlign w:val="superscript"/>
        </w:rPr>
        <w:t>1</w:t>
      </w:r>
    </w:p>
    <w:p w14:paraId="356F127F"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Las implicaciones estratégicas para las empresas son claras: la necesidad de construir cadenas de suministro resilientes ante la incertidumbre comercial, la identificación de </w:t>
      </w:r>
      <w:r>
        <w:rPr>
          <w:rFonts w:ascii="Google Sans Text" w:eastAsia="Google Sans Text" w:hAnsi="Google Sans Text" w:cs="Google Sans Text"/>
          <w:color w:val="1B1C1D"/>
        </w:rPr>
        <w:lastRenderedPageBreak/>
        <w:t>oportunidades en mercados con un rendimiento superior como el español, y la vigilancia continua de la inflación subyacente como indicador clave de las futuras condiciones de financiación y de la política monetaria.</w:t>
      </w:r>
    </w:p>
    <w:p w14:paraId="012562B0"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continuación, se presenta la tabla consolidada con las previsiones más recientes, verificadas y actualizadas, que sirve como base cuantitativa para el análisis detallado de este informe.</w:t>
      </w:r>
    </w:p>
    <w:p w14:paraId="1247B788" w14:textId="77777777" w:rsidR="00DF08CE" w:rsidRDefault="00DF08CE">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64589BB8" w14:textId="77777777" w:rsidR="00DF08CE"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Tabla Consolidada de Previsiones Macroeconómicas (2025-2026)</w:t>
      </w:r>
    </w:p>
    <w:p w14:paraId="365AD9D8" w14:textId="77777777" w:rsidR="00DF08CE" w:rsidRDefault="00DF08CE">
      <w:pPr>
        <w:pBdr>
          <w:top w:val="nil"/>
          <w:left w:val="nil"/>
          <w:bottom w:val="nil"/>
          <w:right w:val="nil"/>
          <w:between w:val="nil"/>
        </w:pBdr>
        <w:spacing w:after="240" w:line="275" w:lineRule="auto"/>
        <w:rPr>
          <w:rFonts w:ascii="Google Sans" w:eastAsia="Google Sans" w:hAnsi="Google Sans" w:cs="Google Sans"/>
          <w:color w:val="1B1C1D"/>
        </w:rPr>
      </w:pPr>
    </w:p>
    <w:p w14:paraId="5663F627" w14:textId="77777777" w:rsidR="00DF08CE" w:rsidRDefault="00DF08CE">
      <w:pPr>
        <w:pBdr>
          <w:top w:val="nil"/>
          <w:left w:val="nil"/>
          <w:bottom w:val="nil"/>
          <w:right w:val="nil"/>
          <w:between w:val="nil"/>
        </w:pBdr>
        <w:spacing w:line="275" w:lineRule="auto"/>
        <w:rPr>
          <w:rFonts w:ascii="Google Sans" w:eastAsia="Google Sans" w:hAnsi="Google Sans" w:cs="Google Sans"/>
          <w:color w:val="1B1C1D"/>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DF08CE" w14:paraId="77876B93"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E72955"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Institución</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2982AF"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Región/País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87677D"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Indicador</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9A002D"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Previsión Anterior (</w:t>
            </w:r>
            <w:proofErr w:type="gramStart"/>
            <w:r>
              <w:rPr>
                <w:rFonts w:ascii="Google Sans Text" w:eastAsia="Google Sans Text" w:hAnsi="Google Sans Text" w:cs="Google Sans Text"/>
                <w:color w:val="1B1C1D"/>
              </w:rPr>
              <w:t>Abril</w:t>
            </w:r>
            <w:proofErr w:type="gramEnd"/>
            <w:r>
              <w:rPr>
                <w:rFonts w:ascii="Google Sans Text" w:eastAsia="Google Sans Text" w:hAnsi="Google Sans Text" w:cs="Google Sans Text"/>
                <w:color w:val="1B1C1D"/>
              </w:rPr>
              <w:t xml:space="preserve"> 2025)</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05890E"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Previsión Actual (Junio/Julio 2025)</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67953C"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Previsión 2026</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D4ECA7"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Fuente</w:t>
            </w:r>
          </w:p>
        </w:tc>
      </w:tr>
      <w:tr w:rsidR="00DF08CE" w14:paraId="03B2785C"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36ED5A"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FMI</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3C4E6A"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Mundo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99259A"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PIB Real</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4470C4"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2.8%</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A6F7A7"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77A374"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3.1%</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C64E30"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1</w:t>
            </w:r>
          </w:p>
        </w:tc>
      </w:tr>
      <w:tr w:rsidR="00DF08CE" w14:paraId="6AEC32EE"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C01618"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1C8B29"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1361DD"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Inflación</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9E1714"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4.2%</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E83228"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4.2%</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D904D7"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3.6%</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9BA3EB"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2</w:t>
            </w:r>
          </w:p>
        </w:tc>
      </w:tr>
      <w:tr w:rsidR="00DF08CE" w14:paraId="10549665"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6AB606"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D5A479"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roofErr w:type="gramStart"/>
            <w:r>
              <w:rPr>
                <w:rFonts w:ascii="Google Sans Text" w:eastAsia="Google Sans Text" w:hAnsi="Google Sans Text" w:cs="Google Sans Text"/>
                <w:color w:val="1B1C1D"/>
              </w:rPr>
              <w:t>EE.UU.</w:t>
            </w:r>
            <w:proofErr w:type="gramEnd"/>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9139AD0"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PIB Real</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26FAC6"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1.8%</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6F5645"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1.9%</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4D74D3"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87A1BD"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1</w:t>
            </w:r>
          </w:p>
        </w:tc>
      </w:tr>
      <w:tr w:rsidR="00DF08CE" w14:paraId="4B44777A"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1A6627"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CDA841"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BCA765"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Inflación (Core PCE)</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6EA91A"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2.8%</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5A3B5D"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3.1%</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A42E5D"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2.4%</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935584"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t>
            </w:r>
          </w:p>
        </w:tc>
      </w:tr>
      <w:tr w:rsidR="00DF08CE" w14:paraId="44B63AEB"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A86AF3"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1BA7C6"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China</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0012F3"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PIB Real</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E3BAB7"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4.6%</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7EA812"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4.8%</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0266C0"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2CA4AC"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1</w:t>
            </w:r>
          </w:p>
        </w:tc>
      </w:tr>
      <w:tr w:rsidR="00DF08CE" w14:paraId="7E91B2D4"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FF1A72"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A64F6B"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41AB11"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Inflación</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4C73EE"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s.d.</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08599C"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s.d.</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62A1F2"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s.d.</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EB8672"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t>
            </w:r>
          </w:p>
        </w:tc>
      </w:tr>
      <w:tr w:rsidR="00DF08CE" w14:paraId="1D8D7528"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86731D"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FB025D"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Zona </w:t>
            </w:r>
            <w:proofErr w:type="gramStart"/>
            <w:r>
              <w:rPr>
                <w:rFonts w:ascii="Google Sans Text" w:eastAsia="Google Sans Text" w:hAnsi="Google Sans Text" w:cs="Google Sans Text"/>
                <w:color w:val="1B1C1D"/>
              </w:rPr>
              <w:t>Euro</w:t>
            </w:r>
            <w:proofErr w:type="gramEnd"/>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969A07"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PIB Real</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9FDC21"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1.1%</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CCB2CE"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0.9%</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F47A5B"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1.2%</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06AFA6"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1</w:t>
            </w:r>
          </w:p>
        </w:tc>
      </w:tr>
      <w:tr w:rsidR="00DF08CE" w14:paraId="7ADDC6E2"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D4510D"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36518A"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E2F19B"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Inflación (IPCA)</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5B6BF3"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2.3%</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491C4C"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CF7ED8"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1.6%</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41DD90"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t>
            </w:r>
          </w:p>
        </w:tc>
      </w:tr>
      <w:tr w:rsidR="00DF08CE" w14:paraId="6DEBCA92"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23C9C2"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FFE27A"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España</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A05BB4"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PIB Real</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EAEC1F"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2.3%</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713209"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2.5%</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9955C4"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1.8%</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7C1986"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5</w:t>
            </w:r>
          </w:p>
        </w:tc>
      </w:tr>
      <w:tr w:rsidR="00DF08CE" w14:paraId="24680013"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C73948"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ED3B79"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0F7343"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Inflación (IPCA)</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C5B72A"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s.d.</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10C0B1"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s.d.</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BD18A6"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s.d.</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6763B0"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t>
            </w:r>
          </w:p>
        </w:tc>
      </w:tr>
      <w:tr w:rsidR="00DF08CE" w14:paraId="6F0BC0DB"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D7A807"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OCDE</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55E731"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Mundo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9303B1"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PIB Real</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015C52"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3.1%</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3F600C"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2.9%</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549748"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2.9%</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3C86CA"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4</w:t>
            </w:r>
          </w:p>
        </w:tc>
      </w:tr>
      <w:tr w:rsidR="00DF08CE" w14:paraId="43F0E0FD"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F28AB8"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C083BE"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roofErr w:type="gramStart"/>
            <w:r>
              <w:rPr>
                <w:rFonts w:ascii="Google Sans Text" w:eastAsia="Google Sans Text" w:hAnsi="Google Sans Text" w:cs="Google Sans Text"/>
                <w:color w:val="1B1C1D"/>
              </w:rPr>
              <w:t>EE.UU.</w:t>
            </w:r>
            <w:proofErr w:type="gramEnd"/>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8AF420"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PIB Real</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C4633D"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1.8%</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1FFF7E"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1.6%</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994091"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1.5%</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4ED291"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8</w:t>
            </w:r>
          </w:p>
        </w:tc>
      </w:tr>
      <w:tr w:rsidR="00DF08CE" w14:paraId="6023B4C4"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F41B5C"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CA5CE8"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China</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5B0ADE"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PIB Real</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BCD7A4"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4.7%</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A9851F"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4.7%</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64C83C"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4.3%</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6274B2"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4</w:t>
            </w:r>
          </w:p>
        </w:tc>
      </w:tr>
      <w:tr w:rsidR="00DF08CE" w14:paraId="6BEB9198"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DAB6D1"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A4542E"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Zona </w:t>
            </w:r>
            <w:proofErr w:type="gramStart"/>
            <w:r>
              <w:rPr>
                <w:rFonts w:ascii="Google Sans Text" w:eastAsia="Google Sans Text" w:hAnsi="Google Sans Text" w:cs="Google Sans Text"/>
                <w:color w:val="1B1C1D"/>
              </w:rPr>
              <w:t>Euro</w:t>
            </w:r>
            <w:proofErr w:type="gramEnd"/>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3E43E5"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PIB Real</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BFAA91"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1.5%</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FF589C"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F75401"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1.2%</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5E839A"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8</w:t>
            </w:r>
          </w:p>
        </w:tc>
      </w:tr>
      <w:tr w:rsidR="00DF08CE" w14:paraId="05A71AEE"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3D6E94"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C7EF12"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España</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2B4E13"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PIB Real</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5EDBC9"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2.6%</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22804B"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2.4%</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A098A8"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1.9%</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0D55F2"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8</w:t>
            </w:r>
          </w:p>
        </w:tc>
      </w:tr>
      <w:tr w:rsidR="00DF08CE" w14:paraId="523B0495"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C0D328"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BCE</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71964C"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Zona </w:t>
            </w:r>
            <w:proofErr w:type="gramStart"/>
            <w:r>
              <w:rPr>
                <w:rFonts w:ascii="Google Sans Text" w:eastAsia="Google Sans Text" w:hAnsi="Google Sans Text" w:cs="Google Sans Text"/>
                <w:color w:val="1B1C1D"/>
              </w:rPr>
              <w:t>Euro</w:t>
            </w:r>
            <w:proofErr w:type="gramEnd"/>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9FC9AF"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PIB Real</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0923E0"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1.2%</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B23865"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0.9%</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2A4372"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1.1%</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6A5490"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9</w:t>
            </w:r>
          </w:p>
        </w:tc>
      </w:tr>
      <w:tr w:rsidR="00DF08CE" w14:paraId="3341C938"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2BB407"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A63999"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FC803F"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Inflación (IPCA)</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D0A64F"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2.2%</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891218"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88040D"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1.6%</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103EB0"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9</w:t>
            </w:r>
          </w:p>
        </w:tc>
      </w:tr>
      <w:tr w:rsidR="00DF08CE" w14:paraId="2F82A603"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D136AB"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Bco. de España</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2B2958"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España</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DDEC1C"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PIB Real</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B7D187"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2.7% (Mar)</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EDFC57"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2.4% (Jun)</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F65657"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1.8% (Jun)</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5B456A"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10</w:t>
            </w:r>
          </w:p>
        </w:tc>
      </w:tr>
      <w:tr w:rsidR="00DF08CE" w14:paraId="1B40D4B4"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2784E6"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225429"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575B5F"/>
                <w:sz w:val="24"/>
                <w:szCs w:val="24"/>
                <w:vertAlign w:val="superscript"/>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034BE3"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Inflación (IPCA)</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8316A3"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2.5% (Mar)</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084206"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2.4% (Jun)</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D990FF"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1.7% (Jun)</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9C5A4B"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575B5F"/>
                <w:sz w:val="24"/>
                <w:szCs w:val="24"/>
                <w:vertAlign w:val="superscript"/>
              </w:rPr>
              <w:t>10</w:t>
            </w:r>
          </w:p>
        </w:tc>
      </w:tr>
    </w:tbl>
    <w:p w14:paraId="212CAE9F"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i/>
          <w:color w:val="1B1C1D"/>
        </w:rPr>
      </w:pPr>
      <w:r>
        <w:rPr>
          <w:rFonts w:ascii="Google Sans Text" w:eastAsia="Google Sans Text" w:hAnsi="Google Sans Text" w:cs="Google Sans Text"/>
          <w:i/>
          <w:color w:val="1B1C1D"/>
        </w:rPr>
        <w:t xml:space="preserve">Nota: "s.d." indica "sin datos disponibles" en los informes de referencia. Las previsiones anteriores se basan en los informes de primavera (abril/marzo de 2025) de cada organismo. Las previsiones de inflación de </w:t>
      </w:r>
      <w:proofErr w:type="gramStart"/>
      <w:r>
        <w:rPr>
          <w:rFonts w:ascii="Google Sans Text" w:eastAsia="Google Sans Text" w:hAnsi="Google Sans Text" w:cs="Google Sans Text"/>
          <w:i/>
          <w:color w:val="1B1C1D"/>
        </w:rPr>
        <w:t>EE.UU.</w:t>
      </w:r>
      <w:proofErr w:type="gramEnd"/>
      <w:r>
        <w:rPr>
          <w:rFonts w:ascii="Google Sans Text" w:eastAsia="Google Sans Text" w:hAnsi="Google Sans Text" w:cs="Google Sans Text"/>
          <w:i/>
          <w:color w:val="1B1C1D"/>
        </w:rPr>
        <w:t xml:space="preserve"> del FMI y de la Zona </w:t>
      </w:r>
      <w:proofErr w:type="gramStart"/>
      <w:r>
        <w:rPr>
          <w:rFonts w:ascii="Google Sans Text" w:eastAsia="Google Sans Text" w:hAnsi="Google Sans Text" w:cs="Google Sans Text"/>
          <w:i/>
          <w:color w:val="1B1C1D"/>
        </w:rPr>
        <w:t>Euro</w:t>
      </w:r>
      <w:proofErr w:type="gramEnd"/>
      <w:r>
        <w:rPr>
          <w:rFonts w:ascii="Google Sans Text" w:eastAsia="Google Sans Text" w:hAnsi="Google Sans Text" w:cs="Google Sans Text"/>
          <w:i/>
          <w:color w:val="1B1C1D"/>
        </w:rPr>
        <w:t xml:space="preserve"> se han actualizado para reflejar los datos de la tabla original del usuario, ya que no se especifican en los comunicados de prensa de julio del FMI. La previsión del Banco de España se compara con su propia previsión de marzo de 2025.</w:t>
      </w:r>
    </w:p>
    <w:p w14:paraId="4A33CA33" w14:textId="77777777" w:rsidR="00DF08CE" w:rsidRDefault="00000000">
      <w:pPr>
        <w:pBdr>
          <w:top w:val="nil"/>
          <w:left w:val="nil"/>
          <w:bottom w:val="nil"/>
          <w:right w:val="nil"/>
          <w:between w:val="nil"/>
        </w:pBdr>
        <w:spacing w:before="120" w:after="240" w:line="275" w:lineRule="auto"/>
        <w:rPr>
          <w:rFonts w:ascii="Google Sans Text" w:eastAsia="Google Sans Text" w:hAnsi="Google Sans Text" w:cs="Google Sans Text"/>
          <w:i/>
          <w:color w:val="1B1C1D"/>
        </w:rPr>
      </w:pPr>
      <w:r>
        <w:pict w14:anchorId="2DE5380D">
          <v:rect id="_x0000_i1025" style="width:0;height:1.5pt" o:hralign="center" o:hrstd="t" o:hr="t" fillcolor="#a0a0a0" stroked="f"/>
        </w:pict>
      </w:r>
    </w:p>
    <w:p w14:paraId="3FE0E875" w14:textId="77777777" w:rsidR="00DF08CE" w:rsidRDefault="00000000">
      <w:pPr>
        <w:pStyle w:val="Ttulo2"/>
        <w:spacing w:before="0" w:after="120" w:line="275" w:lineRule="auto"/>
        <w:rPr>
          <w:rFonts w:ascii="Google Sans" w:eastAsia="Google Sans" w:hAnsi="Google Sans" w:cs="Google Sans"/>
          <w:color w:val="1B1C1D"/>
        </w:rPr>
      </w:pPr>
      <w:r>
        <w:rPr>
          <w:rFonts w:ascii="Google Sans" w:eastAsia="Google Sans" w:hAnsi="Google Sans" w:cs="Google Sans"/>
          <w:color w:val="1B1C1D"/>
        </w:rPr>
        <w:t>Sección 1: El Panorama Económico Global: Un Clima de Estabilidad Tenue</w:t>
      </w:r>
    </w:p>
    <w:p w14:paraId="3242B9DB" w14:textId="77777777" w:rsidR="00DF08CE" w:rsidRDefault="00DF08CE">
      <w:pPr>
        <w:pBdr>
          <w:top w:val="nil"/>
          <w:left w:val="nil"/>
          <w:bottom w:val="nil"/>
          <w:right w:val="nil"/>
          <w:between w:val="nil"/>
        </w:pBdr>
        <w:spacing w:after="240" w:line="275" w:lineRule="auto"/>
        <w:rPr>
          <w:rFonts w:ascii="Google Sans" w:eastAsia="Google Sans" w:hAnsi="Google Sans" w:cs="Google Sans"/>
          <w:color w:val="1B1C1D"/>
        </w:rPr>
      </w:pPr>
    </w:p>
    <w:p w14:paraId="44E0C8DF" w14:textId="77777777" w:rsidR="00DF08CE" w:rsidRDefault="00DF08CE">
      <w:pPr>
        <w:pBdr>
          <w:top w:val="nil"/>
          <w:left w:val="nil"/>
          <w:bottom w:val="nil"/>
          <w:right w:val="nil"/>
          <w:between w:val="nil"/>
        </w:pBdr>
        <w:spacing w:after="240" w:line="275" w:lineRule="auto"/>
        <w:rPr>
          <w:rFonts w:ascii="Google Sans" w:eastAsia="Google Sans" w:hAnsi="Google Sans" w:cs="Google Sans"/>
          <w:color w:val="1B1C1D"/>
        </w:rPr>
      </w:pPr>
    </w:p>
    <w:p w14:paraId="7E86E355" w14:textId="77777777" w:rsidR="00DF08CE"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1.1 Previsiones Globales Consolidadas: Una Revisión al Alza Frágil</w:t>
      </w:r>
    </w:p>
    <w:p w14:paraId="17CC294B" w14:textId="77777777" w:rsidR="00DF08CE" w:rsidRDefault="00DF08CE">
      <w:pPr>
        <w:pBdr>
          <w:top w:val="nil"/>
          <w:left w:val="nil"/>
          <w:bottom w:val="nil"/>
          <w:right w:val="nil"/>
          <w:between w:val="nil"/>
        </w:pBdr>
        <w:spacing w:after="240" w:line="275" w:lineRule="auto"/>
        <w:rPr>
          <w:rFonts w:ascii="Google Sans" w:eastAsia="Google Sans" w:hAnsi="Google Sans" w:cs="Google Sans"/>
          <w:color w:val="1B1C1D"/>
        </w:rPr>
      </w:pPr>
    </w:p>
    <w:p w14:paraId="0E58EE01"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El consenso entre las principales instituciones financieras internacionales apunta a un crecimiento global modesto, aunque existen matices significativos en sus proyecciones más recientes que revelan diferentes interpretaciones de los riesgos y fortalezas actuales.</w:t>
      </w:r>
    </w:p>
    <w:p w14:paraId="04AF41FB"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La actualización de julio de 2025 del </w:t>
      </w:r>
      <w:r>
        <w:rPr>
          <w:rFonts w:ascii="Google Sans Text" w:eastAsia="Google Sans Text" w:hAnsi="Google Sans Text" w:cs="Google Sans Text"/>
          <w:b/>
          <w:color w:val="1B1C1D"/>
        </w:rPr>
        <w:t>Informe de Perspectivas de la Economía Mundial (WEO) del FMI</w:t>
      </w:r>
      <w:r>
        <w:rPr>
          <w:rFonts w:ascii="Google Sans Text" w:eastAsia="Google Sans Text" w:hAnsi="Google Sans Text" w:cs="Google Sans Text"/>
          <w:color w:val="1B1C1D"/>
        </w:rPr>
        <w:t xml:space="preserve"> proyecta un crecimiento global del </w:t>
      </w:r>
      <w:r>
        <w:rPr>
          <w:rFonts w:ascii="Google Sans Text" w:eastAsia="Google Sans Text" w:hAnsi="Google Sans Text" w:cs="Google Sans Text"/>
          <w:b/>
          <w:color w:val="1B1C1D"/>
        </w:rPr>
        <w:t>3.0% en 2025</w:t>
      </w:r>
      <w:r>
        <w:rPr>
          <w:rFonts w:ascii="Google Sans Text" w:eastAsia="Google Sans Text" w:hAnsi="Google Sans Text" w:cs="Google Sans Text"/>
          <w:color w:val="1B1C1D"/>
        </w:rPr>
        <w:t xml:space="preserve"> y del </w:t>
      </w:r>
      <w:r>
        <w:rPr>
          <w:rFonts w:ascii="Google Sans Text" w:eastAsia="Google Sans Text" w:hAnsi="Google Sans Text" w:cs="Google Sans Text"/>
          <w:b/>
          <w:color w:val="1B1C1D"/>
        </w:rPr>
        <w:t>3.1% en 2026</w:t>
      </w:r>
      <w:r>
        <w:rPr>
          <w:rFonts w:ascii="Google Sans Text" w:eastAsia="Google Sans Text" w:hAnsi="Google Sans Text" w:cs="Google Sans Text"/>
          <w:color w:val="1B1C1D"/>
        </w:rPr>
        <w:t>. Esta cifra para 2025 supone una revisión al alza de 0.2 puntos porcentuales con respecto a su informe de abril.</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El FMI atribuye explícitamente esta mejora a factores de naturaleza temporal y reactiva: una "carga adelantada" de importaciones más fuerte de lo esperado en anticipación a aranceles más altos, tasas arancelarias efectivas en </w:t>
      </w:r>
      <w:proofErr w:type="gramStart"/>
      <w:r>
        <w:rPr>
          <w:rFonts w:ascii="Google Sans Text" w:eastAsia="Google Sans Text" w:hAnsi="Google Sans Text" w:cs="Google Sans Text"/>
          <w:color w:val="1B1C1D"/>
        </w:rPr>
        <w:t>EE.UU.</w:t>
      </w:r>
      <w:proofErr w:type="gramEnd"/>
      <w:r>
        <w:rPr>
          <w:rFonts w:ascii="Google Sans Text" w:eastAsia="Google Sans Text" w:hAnsi="Google Sans Text" w:cs="Google Sans Text"/>
          <w:color w:val="1B1C1D"/>
        </w:rPr>
        <w:t xml:space="preserve"> más bajas de las anunciadas inicialmente, una mejora de las condiciones financieras y la expansión fiscal en algunas economías importantes.</w:t>
      </w:r>
      <w:r>
        <w:rPr>
          <w:rFonts w:ascii="Google Sans Text" w:eastAsia="Google Sans Text" w:hAnsi="Google Sans Text" w:cs="Google Sans Text"/>
          <w:color w:val="575B5F"/>
          <w:sz w:val="24"/>
          <w:szCs w:val="24"/>
          <w:vertAlign w:val="superscript"/>
        </w:rPr>
        <w:t>2</w:t>
      </w:r>
    </w:p>
    <w:p w14:paraId="5282F4B4"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Por otro lado, la </w:t>
      </w:r>
      <w:r>
        <w:rPr>
          <w:rFonts w:ascii="Google Sans Text" w:eastAsia="Google Sans Text" w:hAnsi="Google Sans Text" w:cs="Google Sans Text"/>
          <w:b/>
          <w:color w:val="1B1C1D"/>
        </w:rPr>
        <w:t>OCDE</w:t>
      </w:r>
      <w:r>
        <w:rPr>
          <w:rFonts w:ascii="Google Sans Text" w:eastAsia="Google Sans Text" w:hAnsi="Google Sans Text" w:cs="Google Sans Text"/>
          <w:color w:val="1B1C1D"/>
        </w:rPr>
        <w:t xml:space="preserve">, en su informe de perspectivas de junio de 2025, ofrece una visión más contenida. Prevé que el crecimiento mundial se desacelere hasta el </w:t>
      </w:r>
      <w:r>
        <w:rPr>
          <w:rFonts w:ascii="Google Sans Text" w:eastAsia="Google Sans Text" w:hAnsi="Google Sans Text" w:cs="Google Sans Text"/>
          <w:b/>
          <w:color w:val="1B1C1D"/>
        </w:rPr>
        <w:t>2.9% tanto en 2025 como en 2026</w:t>
      </w:r>
      <w:r>
        <w:rPr>
          <w:rFonts w:ascii="Google Sans Text" w:eastAsia="Google Sans Text" w:hAnsi="Google Sans Text" w:cs="Google Sans Text"/>
          <w:color w:val="1B1C1D"/>
        </w:rPr>
        <w:t>.</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rPr>
        <w:t xml:space="preserve"> La narrativa de la OCDE está dominada por un panorama "cada vez más desafiante", lastrado por las barreras comerciales y la incertidumbre política.</w:t>
      </w:r>
      <w:r>
        <w:rPr>
          <w:rFonts w:ascii="Google Sans Text" w:eastAsia="Google Sans Text" w:hAnsi="Google Sans Text" w:cs="Google Sans Text"/>
          <w:color w:val="575B5F"/>
          <w:sz w:val="24"/>
          <w:szCs w:val="24"/>
          <w:vertAlign w:val="superscript"/>
        </w:rPr>
        <w:t>11</w:t>
      </w:r>
    </w:p>
    <w:p w14:paraId="04F271EA"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Para añadir un mayor contexto, el </w:t>
      </w:r>
      <w:r>
        <w:rPr>
          <w:rFonts w:ascii="Google Sans Text" w:eastAsia="Google Sans Text" w:hAnsi="Google Sans Text" w:cs="Google Sans Text"/>
          <w:b/>
          <w:color w:val="1B1C1D"/>
        </w:rPr>
        <w:t>Banco Mundial</w:t>
      </w:r>
      <w:r>
        <w:rPr>
          <w:rFonts w:ascii="Google Sans Text" w:eastAsia="Google Sans Text" w:hAnsi="Google Sans Text" w:cs="Google Sans Text"/>
          <w:color w:val="1B1C1D"/>
        </w:rPr>
        <w:t xml:space="preserve">, en su informe de junio, presenta la perspectiva más pesimista. Espera que el crecimiento mundial se debilite hasta solo el </w:t>
      </w:r>
      <w:r>
        <w:rPr>
          <w:rFonts w:ascii="Google Sans Text" w:eastAsia="Google Sans Text" w:hAnsi="Google Sans Text" w:cs="Google Sans Text"/>
          <w:b/>
          <w:color w:val="1B1C1D"/>
        </w:rPr>
        <w:t>2.3% en 2025</w:t>
      </w:r>
      <w:r>
        <w:rPr>
          <w:rFonts w:ascii="Google Sans Text" w:eastAsia="Google Sans Text" w:hAnsi="Google Sans Text" w:cs="Google Sans Text"/>
          <w:color w:val="1B1C1D"/>
        </w:rPr>
        <w:t>, con una recuperación "tibia" a partir de entonces, citando "vientos en contra sustanciales" derivados de las tensiones comerciales.</w:t>
      </w:r>
      <w:r>
        <w:rPr>
          <w:rFonts w:ascii="Google Sans Text" w:eastAsia="Google Sans Text" w:hAnsi="Google Sans Text" w:cs="Google Sans Text"/>
          <w:color w:val="575B5F"/>
          <w:sz w:val="24"/>
          <w:szCs w:val="24"/>
          <w:vertAlign w:val="superscript"/>
        </w:rPr>
        <w:t>13</w:t>
      </w:r>
    </w:p>
    <w:p w14:paraId="6408CD49" w14:textId="77777777" w:rsidR="00DF08CE" w:rsidRDefault="00DF08CE">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40B85AF6" w14:textId="77777777" w:rsidR="00DF08CE"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1.2 El Impacto Penetrante del Comercio y la Incertidumbre Política</w:t>
      </w:r>
    </w:p>
    <w:p w14:paraId="7B86695A" w14:textId="77777777" w:rsidR="00DF08CE" w:rsidRDefault="00DF08CE">
      <w:pPr>
        <w:pBdr>
          <w:top w:val="nil"/>
          <w:left w:val="nil"/>
          <w:bottom w:val="nil"/>
          <w:right w:val="nil"/>
          <w:between w:val="nil"/>
        </w:pBdr>
        <w:spacing w:after="240" w:line="275" w:lineRule="auto"/>
        <w:rPr>
          <w:rFonts w:ascii="Google Sans" w:eastAsia="Google Sans" w:hAnsi="Google Sans" w:cs="Google Sans"/>
          <w:color w:val="1B1C1D"/>
        </w:rPr>
      </w:pPr>
    </w:p>
    <w:p w14:paraId="6E84A7AA"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El hilo conductor que unifica los análisis de todas las instituciones es el riesgo omnipresente que emana de la incertidumbre comercial y política. Este factor no es un mero riesgo a la baja, sino el elemento central que está moldeando activamente la actividad económica a corto plazo. La OCDE lo describe como un entorno "cada vez más desafiante", mientras que el Banco Mundial lo identifica como la fuente de "vientos en contra sustanciales".</w:t>
      </w:r>
      <w:r>
        <w:rPr>
          <w:rFonts w:ascii="Google Sans Text" w:eastAsia="Google Sans Text" w:hAnsi="Google Sans Text" w:cs="Google Sans Text"/>
          <w:color w:val="575B5F"/>
          <w:sz w:val="24"/>
          <w:szCs w:val="24"/>
          <w:vertAlign w:val="superscript"/>
        </w:rPr>
        <w:t>11</w:t>
      </w:r>
    </w:p>
    <w:p w14:paraId="72211C44"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Un fenómeno clave derivado de esta incertidumbre es la "carga adelantada" (</w:t>
      </w:r>
      <w:proofErr w:type="spellStart"/>
      <w:r>
        <w:rPr>
          <w:rFonts w:ascii="Google Sans Text" w:eastAsia="Google Sans Text" w:hAnsi="Google Sans Text" w:cs="Google Sans Text"/>
          <w:i/>
          <w:color w:val="1B1C1D"/>
        </w:rPr>
        <w:t>front-loading</w:t>
      </w:r>
      <w:proofErr w:type="spellEnd"/>
      <w:r>
        <w:rPr>
          <w:rFonts w:ascii="Google Sans Text" w:eastAsia="Google Sans Text" w:hAnsi="Google Sans Text" w:cs="Google Sans Text"/>
          <w:color w:val="1B1C1D"/>
        </w:rPr>
        <w:t>), donde las empresas, particularmente en Estados Unidos, aceleraron sus importaciones para anticiparse a la imposición de nuevos aranceles.</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rPr>
        <w:t xml:space="preserve"> Esta maniobra generó un impulso artificial y temporal en las cifras de comercio y del PIB del primer trimestre de 2025, enmascarando una debilidad subyacente en la demanda final.</w:t>
      </w:r>
    </w:p>
    <w:p w14:paraId="7B46521D"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Esta dinámica conduce a una conclusión crucial: la aparente resiliencia de la economía mundial, especialmente la revisión al alza del </w:t>
      </w:r>
      <w:proofErr w:type="gramStart"/>
      <w:r>
        <w:rPr>
          <w:rFonts w:ascii="Google Sans Text" w:eastAsia="Google Sans Text" w:hAnsi="Google Sans Text" w:cs="Google Sans Text"/>
          <w:color w:val="1B1C1D"/>
        </w:rPr>
        <w:t>FMI,</w:t>
      </w:r>
      <w:proofErr w:type="gramEnd"/>
      <w:r>
        <w:rPr>
          <w:rFonts w:ascii="Google Sans Text" w:eastAsia="Google Sans Text" w:hAnsi="Google Sans Text" w:cs="Google Sans Text"/>
          <w:color w:val="1B1C1D"/>
        </w:rPr>
        <w:t xml:space="preserve"> no es un signo de fortaleza fundamental. Más bien, es una distorsión estadística provocada por decisiones empresariales reactivas y de corto plazo. Por definición, la carga adelantada consiste en trasladar demanda futura al presente, no en crear nuevo crecimiento orgánico. Por lo tanto, la mejora de las previsiones se basa en cimientos temporales e insostenibles. Una vez que este efecto se disipe, es muy probable que la tendencia subyacente más débil, destacada por la OCDE y el Banco Mundial, vuelva a manifestarse. Esto crea un riesgo significativo para las empresas que basan su planificación estratégica en la cifra principal del FMI, ya que podrían enfrentarse a futuras revisiones a la baja. La resiliencia es, como la describe el propio FMI, "tenue".</w:t>
      </w:r>
      <w:r>
        <w:rPr>
          <w:rFonts w:ascii="Google Sans Text" w:eastAsia="Google Sans Text" w:hAnsi="Google Sans Text" w:cs="Google Sans Text"/>
          <w:color w:val="575B5F"/>
          <w:sz w:val="24"/>
          <w:szCs w:val="24"/>
          <w:vertAlign w:val="superscript"/>
        </w:rPr>
        <w:t>1</w:t>
      </w:r>
    </w:p>
    <w:p w14:paraId="53C914A6" w14:textId="77777777" w:rsidR="00DF08CE" w:rsidRDefault="00DF08CE">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642A16B8" w14:textId="77777777" w:rsidR="00DF08CE"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1.3 Dinámicas de Inflación e Implicaciones para la Política Monetaria</w:t>
      </w:r>
    </w:p>
    <w:p w14:paraId="3DB678B2" w14:textId="77777777" w:rsidR="00DF08CE" w:rsidRDefault="00DF08CE">
      <w:pPr>
        <w:pBdr>
          <w:top w:val="nil"/>
          <w:left w:val="nil"/>
          <w:bottom w:val="nil"/>
          <w:right w:val="nil"/>
          <w:between w:val="nil"/>
        </w:pBdr>
        <w:spacing w:after="240" w:line="275" w:lineRule="auto"/>
        <w:rPr>
          <w:rFonts w:ascii="Google Sans" w:eastAsia="Google Sans" w:hAnsi="Google Sans" w:cs="Google Sans"/>
          <w:color w:val="1B1C1D"/>
        </w:rPr>
      </w:pPr>
    </w:p>
    <w:p w14:paraId="1C411511"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La tendencia global es una moderación de la inflación general. El FMI proyecta que la inflación mundial descienda al </w:t>
      </w:r>
      <w:r>
        <w:rPr>
          <w:rFonts w:ascii="Google Sans Text" w:eastAsia="Google Sans Text" w:hAnsi="Google Sans Text" w:cs="Google Sans Text"/>
          <w:b/>
          <w:color w:val="1B1C1D"/>
        </w:rPr>
        <w:t>4.2% en 2025</w:t>
      </w:r>
      <w:r>
        <w:rPr>
          <w:rFonts w:ascii="Google Sans Text" w:eastAsia="Google Sans Text" w:hAnsi="Google Sans Text" w:cs="Google Sans Text"/>
          <w:color w:val="1B1C1D"/>
        </w:rPr>
        <w:t xml:space="preserve"> y al </w:t>
      </w:r>
      <w:r>
        <w:rPr>
          <w:rFonts w:ascii="Google Sans Text" w:eastAsia="Google Sans Text" w:hAnsi="Google Sans Text" w:cs="Google Sans Text"/>
          <w:b/>
          <w:color w:val="1B1C1D"/>
        </w:rPr>
        <w:t>3.6% en 2026</w:t>
      </w:r>
      <w:r>
        <w:rPr>
          <w:rFonts w:ascii="Google Sans Text" w:eastAsia="Google Sans Text" w:hAnsi="Google Sans Text" w:cs="Google Sans Text"/>
          <w:color w:val="1B1C1D"/>
        </w:rPr>
        <w:t>.</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rPr>
        <w:t xml:space="preserve"> Sin embargo, el verdadero desafío reside en la inflación subyacente (que excluye los volátiles precios de la energía y los alimentos), la cual está demostrando ser más "pegajosa" (</w:t>
      </w:r>
    </w:p>
    <w:p w14:paraId="07D1DCD5"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roofErr w:type="spellStart"/>
      <w:r>
        <w:rPr>
          <w:rFonts w:ascii="Google Sans Text" w:eastAsia="Google Sans Text" w:hAnsi="Google Sans Text" w:cs="Google Sans Text"/>
          <w:i/>
          <w:color w:val="1B1C1D"/>
        </w:rPr>
        <w:t>sticky</w:t>
      </w:r>
      <w:proofErr w:type="spellEnd"/>
      <w:r>
        <w:rPr>
          <w:rFonts w:ascii="Google Sans Text" w:eastAsia="Google Sans Text" w:hAnsi="Google Sans Text" w:cs="Google Sans Text"/>
          <w:color w:val="1B1C1D"/>
        </w:rPr>
        <w:t>).</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rPr>
        <w:t xml:space="preserve"> En particular, "la inflación de los servicios está frenando el progreso en la desinflación", lo que complica la tarea de los bancos centrales.</w:t>
      </w:r>
      <w:r>
        <w:rPr>
          <w:rFonts w:ascii="Google Sans Text" w:eastAsia="Google Sans Text" w:hAnsi="Google Sans Text" w:cs="Google Sans Text"/>
          <w:color w:val="575B5F"/>
          <w:sz w:val="24"/>
          <w:szCs w:val="24"/>
          <w:vertAlign w:val="superscript"/>
        </w:rPr>
        <w:t>14</w:t>
      </w:r>
    </w:p>
    <w:p w14:paraId="19119EF0"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Esta dicotomía entre la inflación general y la subyacente está generando una divergencia en las trayectorias de la política monetaria. Mientras que el BCE ha adoptado una postura más acomodaticia debido al débil crecimiento de la Zona </w:t>
      </w:r>
      <w:proofErr w:type="gramStart"/>
      <w:r>
        <w:rPr>
          <w:rFonts w:ascii="Google Sans Text" w:eastAsia="Google Sans Text" w:hAnsi="Google Sans Text" w:cs="Google Sans Text"/>
          <w:color w:val="1B1C1D"/>
        </w:rPr>
        <w:t>Euro</w:t>
      </w:r>
      <w:proofErr w:type="gramEnd"/>
      <w:r>
        <w:rPr>
          <w:rFonts w:ascii="Google Sans Text" w:eastAsia="Google Sans Text" w:hAnsi="Google Sans Text" w:cs="Google Sans Text"/>
          <w:color w:val="1B1C1D"/>
        </w:rPr>
        <w:t>, la persistencia de la inflación en Estados Unidos, que se prevé que "permanezca por encima del objetivo", complica el camino de la Reserva Federal.</w:t>
      </w:r>
      <w:r>
        <w:rPr>
          <w:rFonts w:ascii="Google Sans Text" w:eastAsia="Google Sans Text" w:hAnsi="Google Sans Text" w:cs="Google Sans Text"/>
          <w:color w:val="575B5F"/>
          <w:sz w:val="24"/>
          <w:szCs w:val="24"/>
          <w:vertAlign w:val="superscript"/>
        </w:rPr>
        <w:t>2</w:t>
      </w:r>
    </w:p>
    <w:p w14:paraId="540B2292"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Este escenario de divergencia entre un crecimiento lento en regiones como la Zona </w:t>
      </w:r>
      <w:proofErr w:type="gramStart"/>
      <w:r>
        <w:rPr>
          <w:rFonts w:ascii="Google Sans Text" w:eastAsia="Google Sans Text" w:hAnsi="Google Sans Text" w:cs="Google Sans Text"/>
          <w:color w:val="1B1C1D"/>
        </w:rPr>
        <w:t>Euro</w:t>
      </w:r>
      <w:proofErr w:type="gramEnd"/>
      <w:r>
        <w:rPr>
          <w:rFonts w:ascii="Google Sans Text" w:eastAsia="Google Sans Text" w:hAnsi="Google Sans Text" w:cs="Google Sans Text"/>
          <w:color w:val="1B1C1D"/>
        </w:rPr>
        <w:t xml:space="preserve"> y una inflación persistente en otras como Estados Unidos crea un entorno de alto riesgo para un posible error de política por parte de los bancos centrales. La Zona </w:t>
      </w:r>
      <w:proofErr w:type="gramStart"/>
      <w:r>
        <w:rPr>
          <w:rFonts w:ascii="Google Sans Text" w:eastAsia="Google Sans Text" w:hAnsi="Google Sans Text" w:cs="Google Sans Text"/>
          <w:color w:val="1B1C1D"/>
        </w:rPr>
        <w:t>Euro</w:t>
      </w:r>
      <w:proofErr w:type="gramEnd"/>
      <w:r>
        <w:rPr>
          <w:rFonts w:ascii="Google Sans Text" w:eastAsia="Google Sans Text" w:hAnsi="Google Sans Text" w:cs="Google Sans Text"/>
          <w:color w:val="1B1C1D"/>
        </w:rPr>
        <w:t xml:space="preserve"> se enfrenta a un crecimiento débil, con previsiones del PIB revisadas a la baja hasta aproximadamente el 0.9% </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lo que teóricamente justificaría una relajación monetaria. Por el contrario, Estados Unidos se enfrenta a una inflación más persistente, lo que exige mantener una política monetaria restrictiva.</w:t>
      </w:r>
      <w:r>
        <w:rPr>
          <w:rFonts w:ascii="Google Sans Text" w:eastAsia="Google Sans Text" w:hAnsi="Google Sans Text" w:cs="Google Sans Text"/>
          <w:color w:val="575B5F"/>
          <w:sz w:val="24"/>
          <w:szCs w:val="24"/>
          <w:vertAlign w:val="superscript"/>
        </w:rPr>
        <w:t>2</w:t>
      </w:r>
    </w:p>
    <w:p w14:paraId="4A3A1C85"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Dado que estas economías están profundamente interconectadas, una decisión de la Fed tiene efectos indirectos significativos en las condiciones financieras mundiales y en la Zona </w:t>
      </w:r>
      <w:proofErr w:type="gramStart"/>
      <w:r>
        <w:rPr>
          <w:rFonts w:ascii="Google Sans Text" w:eastAsia="Google Sans Text" w:hAnsi="Google Sans Text" w:cs="Google Sans Text"/>
          <w:color w:val="1B1C1D"/>
        </w:rPr>
        <w:t>Euro</w:t>
      </w:r>
      <w:proofErr w:type="gramEnd"/>
      <w:r>
        <w:rPr>
          <w:rFonts w:ascii="Google Sans Text" w:eastAsia="Google Sans Text" w:hAnsi="Google Sans Text" w:cs="Google Sans Text"/>
          <w:color w:val="1B1C1D"/>
        </w:rPr>
        <w:t xml:space="preserve">. Si el BCE relaja su política mientras la Fed se mantiene firme, podría producirse una depreciación significativa del euro, lo que a su vez tendría consecuencias inflacionistas para Europa. A la inversa, si la Fed juzga mal la naturaleza "tenue" de la resiliencia estadounidense y mantiene los tipos de interés demasiado altos durante demasiado tiempo, podría desencadenar una desaceleración en </w:t>
      </w:r>
      <w:proofErr w:type="gramStart"/>
      <w:r>
        <w:rPr>
          <w:rFonts w:ascii="Google Sans Text" w:eastAsia="Google Sans Text" w:hAnsi="Google Sans Text" w:cs="Google Sans Text"/>
          <w:color w:val="1B1C1D"/>
        </w:rPr>
        <w:t>EE.UU.</w:t>
      </w:r>
      <w:proofErr w:type="gramEnd"/>
      <w:r>
        <w:rPr>
          <w:rFonts w:ascii="Google Sans Text" w:eastAsia="Google Sans Text" w:hAnsi="Google Sans Text" w:cs="Google Sans Text"/>
          <w:color w:val="1B1C1D"/>
        </w:rPr>
        <w:t xml:space="preserve"> que arrastraría a la economía mundial, incluida la ya frágil Zona </w:t>
      </w:r>
      <w:proofErr w:type="gramStart"/>
      <w:r>
        <w:rPr>
          <w:rFonts w:ascii="Google Sans Text" w:eastAsia="Google Sans Text" w:hAnsi="Google Sans Text" w:cs="Google Sans Text"/>
          <w:color w:val="1B1C1D"/>
        </w:rPr>
        <w:t>Euro</w:t>
      </w:r>
      <w:proofErr w:type="gramEnd"/>
      <w:r>
        <w:rPr>
          <w:rFonts w:ascii="Google Sans Text" w:eastAsia="Google Sans Text" w:hAnsi="Google Sans Text" w:cs="Google Sans Text"/>
          <w:color w:val="1B1C1D"/>
        </w:rPr>
        <w:t>. El estrecho camino hacia un "aterrizaje suave" se ha vuelto aún más angosto.</w:t>
      </w:r>
      <w:r>
        <w:rPr>
          <w:rFonts w:ascii="Google Sans Text" w:eastAsia="Google Sans Text" w:hAnsi="Google Sans Text" w:cs="Google Sans Text"/>
          <w:color w:val="575B5F"/>
          <w:sz w:val="24"/>
          <w:szCs w:val="24"/>
          <w:vertAlign w:val="superscript"/>
        </w:rPr>
        <w:t>1</w:t>
      </w:r>
    </w:p>
    <w:p w14:paraId="32650038" w14:textId="77777777" w:rsidR="00DF08CE"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575B5F"/>
          <w:sz w:val="24"/>
          <w:szCs w:val="24"/>
          <w:vertAlign w:val="superscript"/>
        </w:rPr>
      </w:pPr>
      <w:r>
        <w:pict w14:anchorId="4DA417AC">
          <v:rect id="_x0000_i1026" style="width:0;height:1.5pt" o:hralign="center" o:hrstd="t" o:hr="t" fillcolor="#a0a0a0" stroked="f"/>
        </w:pict>
      </w:r>
    </w:p>
    <w:p w14:paraId="67C63F61" w14:textId="77777777" w:rsidR="00DF08CE" w:rsidRDefault="00000000">
      <w:pPr>
        <w:pStyle w:val="Ttulo2"/>
        <w:spacing w:before="0" w:after="120" w:line="275" w:lineRule="auto"/>
        <w:rPr>
          <w:rFonts w:ascii="Google Sans" w:eastAsia="Google Sans" w:hAnsi="Google Sans" w:cs="Google Sans"/>
          <w:color w:val="1B1C1D"/>
        </w:rPr>
      </w:pPr>
      <w:r>
        <w:rPr>
          <w:rFonts w:ascii="Google Sans" w:eastAsia="Google Sans" w:hAnsi="Google Sans" w:cs="Google Sans"/>
          <w:color w:val="1B1C1D"/>
        </w:rPr>
        <w:t>Sección 2: Análisis de los Grandes Bloques Económicos: Una Historia de Divergencia</w:t>
      </w:r>
    </w:p>
    <w:p w14:paraId="3B7A60AD" w14:textId="77777777" w:rsidR="00DF08CE" w:rsidRDefault="00DF08CE">
      <w:pPr>
        <w:pBdr>
          <w:top w:val="nil"/>
          <w:left w:val="nil"/>
          <w:bottom w:val="nil"/>
          <w:right w:val="nil"/>
          <w:between w:val="nil"/>
        </w:pBdr>
        <w:spacing w:after="240" w:line="275" w:lineRule="auto"/>
        <w:rPr>
          <w:rFonts w:ascii="Google Sans" w:eastAsia="Google Sans" w:hAnsi="Google Sans" w:cs="Google Sans"/>
          <w:color w:val="1B1C1D"/>
        </w:rPr>
      </w:pPr>
    </w:p>
    <w:p w14:paraId="60DBB106" w14:textId="77777777" w:rsidR="00DF08CE" w:rsidRDefault="00DF08CE">
      <w:pPr>
        <w:pBdr>
          <w:top w:val="nil"/>
          <w:left w:val="nil"/>
          <w:bottom w:val="nil"/>
          <w:right w:val="nil"/>
          <w:between w:val="nil"/>
        </w:pBdr>
        <w:spacing w:after="240" w:line="275" w:lineRule="auto"/>
        <w:rPr>
          <w:rFonts w:ascii="Google Sans" w:eastAsia="Google Sans" w:hAnsi="Google Sans" w:cs="Google Sans"/>
          <w:color w:val="1B1C1D"/>
        </w:rPr>
      </w:pPr>
    </w:p>
    <w:p w14:paraId="67232DC3" w14:textId="77777777" w:rsidR="00DF08CE"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2.1 Estados Unidos: Resiliencia Sostenida por la Política Fiscal y la Acción Preventiva</w:t>
      </w:r>
    </w:p>
    <w:p w14:paraId="4B9F71F9" w14:textId="77777777" w:rsidR="00DF08CE" w:rsidRDefault="00DF08CE">
      <w:pPr>
        <w:pBdr>
          <w:top w:val="nil"/>
          <w:left w:val="nil"/>
          <w:bottom w:val="nil"/>
          <w:right w:val="nil"/>
          <w:between w:val="nil"/>
        </w:pBdr>
        <w:spacing w:after="240" w:line="275" w:lineRule="auto"/>
        <w:rPr>
          <w:rFonts w:ascii="Google Sans" w:eastAsia="Google Sans" w:hAnsi="Google Sans" w:cs="Google Sans"/>
          <w:color w:val="1B1C1D"/>
        </w:rPr>
      </w:pPr>
    </w:p>
    <w:p w14:paraId="3EE43905"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La economía estadounidense presenta un comportamiento notablemente distinto al de otras economías avanzadas, mostrando una resiliencia que ha llevado a revisiones de previsiones en direcciones opuestas.</w:t>
      </w:r>
    </w:p>
    <w:p w14:paraId="546C4D4E"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El </w:t>
      </w:r>
      <w:r>
        <w:rPr>
          <w:rFonts w:ascii="Google Sans Text" w:eastAsia="Google Sans Text" w:hAnsi="Google Sans Text" w:cs="Google Sans Text"/>
          <w:b/>
          <w:color w:val="1B1C1D"/>
        </w:rPr>
        <w:t>FMI</w:t>
      </w:r>
      <w:r>
        <w:rPr>
          <w:rFonts w:ascii="Google Sans Text" w:eastAsia="Google Sans Text" w:hAnsi="Google Sans Text" w:cs="Google Sans Text"/>
          <w:color w:val="1B1C1D"/>
        </w:rPr>
        <w:t xml:space="preserve"> ha revisado su previsión de crecimiento del PIB de </w:t>
      </w:r>
      <w:proofErr w:type="gramStart"/>
      <w:r>
        <w:rPr>
          <w:rFonts w:ascii="Google Sans Text" w:eastAsia="Google Sans Text" w:hAnsi="Google Sans Text" w:cs="Google Sans Text"/>
          <w:color w:val="1B1C1D"/>
        </w:rPr>
        <w:t>EE.UU.</w:t>
      </w:r>
      <w:proofErr w:type="gramEnd"/>
      <w:r>
        <w:rPr>
          <w:rFonts w:ascii="Google Sans Text" w:eastAsia="Google Sans Text" w:hAnsi="Google Sans Text" w:cs="Google Sans Text"/>
          <w:color w:val="1B1C1D"/>
        </w:rPr>
        <w:t xml:space="preserve"> </w:t>
      </w:r>
      <w:r>
        <w:rPr>
          <w:rFonts w:ascii="Google Sans Text" w:eastAsia="Google Sans Text" w:hAnsi="Google Sans Text" w:cs="Google Sans Text"/>
          <w:i/>
          <w:color w:val="1B1C1D"/>
        </w:rPr>
        <w:t>al alza</w:t>
      </w:r>
      <w:r>
        <w:rPr>
          <w:rFonts w:ascii="Google Sans Text" w:eastAsia="Google Sans Text" w:hAnsi="Google Sans Text" w:cs="Google Sans Text"/>
          <w:color w:val="1B1C1D"/>
        </w:rPr>
        <w:t xml:space="preserve">, pasando del 1.8% en abril al </w:t>
      </w:r>
      <w:r>
        <w:rPr>
          <w:rFonts w:ascii="Google Sans Text" w:eastAsia="Google Sans Text" w:hAnsi="Google Sans Text" w:cs="Google Sans Text"/>
          <w:b/>
          <w:color w:val="1B1C1D"/>
        </w:rPr>
        <w:t>1.9% para 2025</w:t>
      </w:r>
      <w:r>
        <w:rPr>
          <w:rFonts w:ascii="Google Sans Text" w:eastAsia="Google Sans Text" w:hAnsi="Google Sans Text" w:cs="Google Sans Text"/>
          <w:color w:val="1B1C1D"/>
        </w:rPr>
        <w:t xml:space="preserve">, y proyecta un </w:t>
      </w:r>
      <w:r>
        <w:rPr>
          <w:rFonts w:ascii="Google Sans Text" w:eastAsia="Google Sans Text" w:hAnsi="Google Sans Text" w:cs="Google Sans Text"/>
          <w:b/>
          <w:color w:val="1B1C1D"/>
        </w:rPr>
        <w:t>2.0% para 2026</w:t>
      </w:r>
      <w:r>
        <w:rPr>
          <w:rFonts w:ascii="Google Sans Text" w:eastAsia="Google Sans Text" w:hAnsi="Google Sans Text" w:cs="Google Sans Text"/>
          <w:color w:val="1B1C1D"/>
        </w:rPr>
        <w: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Esta fortaleza contrasta marcadamente con la debilidad observada en Europa. Por el contrario, la</w:t>
      </w:r>
    </w:p>
    <w:p w14:paraId="59DE9708"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rPr>
        <w:t>OCDE</w:t>
      </w:r>
      <w:r>
        <w:rPr>
          <w:rFonts w:ascii="Google Sans Text" w:eastAsia="Google Sans Text" w:hAnsi="Google Sans Text" w:cs="Google Sans Text"/>
          <w:color w:val="1B1C1D"/>
        </w:rPr>
        <w:t xml:space="preserve"> es más pesimista, revisando su previsión </w:t>
      </w:r>
      <w:r>
        <w:rPr>
          <w:rFonts w:ascii="Google Sans Text" w:eastAsia="Google Sans Text" w:hAnsi="Google Sans Text" w:cs="Google Sans Text"/>
          <w:i/>
          <w:color w:val="1B1C1D"/>
        </w:rPr>
        <w:t>a la baja</w:t>
      </w:r>
      <w:r>
        <w:rPr>
          <w:rFonts w:ascii="Google Sans Text" w:eastAsia="Google Sans Text" w:hAnsi="Google Sans Text" w:cs="Google Sans Text"/>
          <w:color w:val="1B1C1D"/>
        </w:rPr>
        <w:t xml:space="preserve"> del 1.8% al </w:t>
      </w:r>
      <w:r>
        <w:rPr>
          <w:rFonts w:ascii="Google Sans Text" w:eastAsia="Google Sans Text" w:hAnsi="Google Sans Text" w:cs="Google Sans Text"/>
          <w:b/>
          <w:color w:val="1B1C1D"/>
        </w:rPr>
        <w:t>1.6% para 2025</w:t>
      </w:r>
      <w:r>
        <w:rPr>
          <w:rFonts w:ascii="Google Sans Text" w:eastAsia="Google Sans Text" w:hAnsi="Google Sans Text" w:cs="Google Sans Text"/>
          <w:color w:val="1B1C1D"/>
        </w:rPr>
        <w:t xml:space="preserve"> y proyectando un </w:t>
      </w:r>
      <w:r>
        <w:rPr>
          <w:rFonts w:ascii="Google Sans Text" w:eastAsia="Google Sans Text" w:hAnsi="Google Sans Text" w:cs="Google Sans Text"/>
          <w:b/>
          <w:color w:val="1B1C1D"/>
        </w:rPr>
        <w:t>1.5% para 2026</w:t>
      </w:r>
      <w:r>
        <w:rPr>
          <w:rFonts w:ascii="Google Sans Text" w:eastAsia="Google Sans Text" w:hAnsi="Google Sans Text" w:cs="Google Sans Text"/>
          <w:color w:val="1B1C1D"/>
        </w:rPr>
        <w:t>.</w:t>
      </w:r>
      <w:r>
        <w:rPr>
          <w:rFonts w:ascii="Google Sans Text" w:eastAsia="Google Sans Text" w:hAnsi="Google Sans Text" w:cs="Google Sans Text"/>
          <w:color w:val="575B5F"/>
          <w:sz w:val="24"/>
          <w:szCs w:val="24"/>
          <w:vertAlign w:val="superscript"/>
        </w:rPr>
        <w:t>8</w:t>
      </w:r>
    </w:p>
    <w:p w14:paraId="4B54E4BF"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En cuanto a la inflación (medida por el PCE subyacente), la previsión se ha incrementado del 2.8% al 3.1% en la actualización de julio, lo que concuerda con la narrativa de una inflación persistente que el FMI espera que se mantenga "por encima del objetivo".</w:t>
      </w:r>
      <w:r>
        <w:rPr>
          <w:rFonts w:ascii="Google Sans Text" w:eastAsia="Google Sans Text" w:hAnsi="Google Sans Text" w:cs="Google Sans Text"/>
          <w:color w:val="575B5F"/>
          <w:sz w:val="24"/>
          <w:szCs w:val="24"/>
          <w:vertAlign w:val="superscript"/>
        </w:rPr>
        <w:t>2</w:t>
      </w:r>
    </w:p>
    <w:p w14:paraId="12D8613C"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El análisis de esta divergencia revela que la resiliencia observada por el FMI se debe a la ya mencionada carga adelantada de importaciones y a los efectos del estímulo fiscal.</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rPr>
        <w:t xml:space="preserve"> El pesimismo de la OCDE, por su parte, probablemente se basa en la creencia de que los efectos negativos de las guerras comerciales acabarán por superar estos factores temporales, lastrando el crecimiento a medio plazo.</w:t>
      </w:r>
      <w:r>
        <w:rPr>
          <w:rFonts w:ascii="Google Sans Text" w:eastAsia="Google Sans Text" w:hAnsi="Google Sans Text" w:cs="Google Sans Text"/>
          <w:color w:val="575B5F"/>
          <w:sz w:val="24"/>
          <w:szCs w:val="24"/>
          <w:vertAlign w:val="superscript"/>
        </w:rPr>
        <w:t>8</w:t>
      </w:r>
    </w:p>
    <w:p w14:paraId="1216F937" w14:textId="77777777" w:rsidR="00DF08CE" w:rsidRDefault="00DF08CE">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16637239" w14:textId="77777777" w:rsidR="00DF08CE"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2.2 China: Contrarrestando las Presiones Externas con Apoyo Interno</w:t>
      </w:r>
    </w:p>
    <w:p w14:paraId="0021B3E0" w14:textId="77777777" w:rsidR="00DF08CE" w:rsidRDefault="00DF08CE">
      <w:pPr>
        <w:pBdr>
          <w:top w:val="nil"/>
          <w:left w:val="nil"/>
          <w:bottom w:val="nil"/>
          <w:right w:val="nil"/>
          <w:between w:val="nil"/>
        </w:pBdr>
        <w:spacing w:after="240" w:line="275" w:lineRule="auto"/>
        <w:rPr>
          <w:rFonts w:ascii="Google Sans" w:eastAsia="Google Sans" w:hAnsi="Google Sans" w:cs="Google Sans"/>
          <w:color w:val="1B1C1D"/>
        </w:rPr>
      </w:pPr>
    </w:p>
    <w:p w14:paraId="27FE5093"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La economía china también ha superado las expectativas a corto plazo, aunque las perspectivas a medio plazo apuntan a una desaceleración.</w:t>
      </w:r>
    </w:p>
    <w:p w14:paraId="6265D3B8"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El </w:t>
      </w:r>
      <w:r>
        <w:rPr>
          <w:rFonts w:ascii="Google Sans Text" w:eastAsia="Google Sans Text" w:hAnsi="Google Sans Text" w:cs="Google Sans Text"/>
          <w:b/>
          <w:color w:val="1B1C1D"/>
        </w:rPr>
        <w:t>FMI</w:t>
      </w:r>
      <w:r>
        <w:rPr>
          <w:rFonts w:ascii="Google Sans Text" w:eastAsia="Google Sans Text" w:hAnsi="Google Sans Text" w:cs="Google Sans Text"/>
          <w:color w:val="1B1C1D"/>
        </w:rPr>
        <w:t xml:space="preserve"> ha mejorado significativamente su previsión de crecimiento del PIB de China, del 4.6% en abril al </w:t>
      </w:r>
      <w:r>
        <w:rPr>
          <w:rFonts w:ascii="Google Sans Text" w:eastAsia="Google Sans Text" w:hAnsi="Google Sans Text" w:cs="Google Sans Text"/>
          <w:b/>
          <w:color w:val="1B1C1D"/>
        </w:rPr>
        <w:t>4.8% para 2025</w:t>
      </w:r>
      <w:r>
        <w:rPr>
          <w:rFonts w:ascii="Google Sans Text" w:eastAsia="Google Sans Text" w:hAnsi="Google Sans Text" w:cs="Google Sans Text"/>
          <w:color w:val="1B1C1D"/>
        </w:rPr>
        <w:t xml:space="preserve">, aunque prevé una desaceleración hasta el </w:t>
      </w:r>
      <w:r>
        <w:rPr>
          <w:rFonts w:ascii="Google Sans Text" w:eastAsia="Google Sans Text" w:hAnsi="Google Sans Text" w:cs="Google Sans Text"/>
          <w:b/>
          <w:color w:val="1B1C1D"/>
        </w:rPr>
        <w:t>4.0% en 2026</w:t>
      </w:r>
      <w:r>
        <w:rPr>
          <w:rFonts w:ascii="Google Sans Text" w:eastAsia="Google Sans Text" w:hAnsi="Google Sans Text" w:cs="Google Sans Text"/>
          <w:color w:val="1B1C1D"/>
        </w:rPr>
        <w: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La</w:t>
      </w:r>
    </w:p>
    <w:p w14:paraId="77782A88"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rPr>
        <w:t>OCDE</w:t>
      </w:r>
      <w:r>
        <w:rPr>
          <w:rFonts w:ascii="Google Sans Text" w:eastAsia="Google Sans Text" w:hAnsi="Google Sans Text" w:cs="Google Sans Text"/>
          <w:color w:val="1B1C1D"/>
        </w:rPr>
        <w:t xml:space="preserve"> mantiene una previsión similar, con un </w:t>
      </w:r>
      <w:r>
        <w:rPr>
          <w:rFonts w:ascii="Google Sans Text" w:eastAsia="Google Sans Text" w:hAnsi="Google Sans Text" w:cs="Google Sans Text"/>
          <w:b/>
          <w:color w:val="1B1C1D"/>
        </w:rPr>
        <w:t>4.7% para 2025</w:t>
      </w:r>
      <w:r>
        <w:rPr>
          <w:rFonts w:ascii="Google Sans Text" w:eastAsia="Google Sans Text" w:hAnsi="Google Sans Text" w:cs="Google Sans Text"/>
          <w:color w:val="1B1C1D"/>
        </w:rPr>
        <w:t xml:space="preserve"> y una ralentización hasta el </w:t>
      </w:r>
      <w:r>
        <w:rPr>
          <w:rFonts w:ascii="Google Sans Text" w:eastAsia="Google Sans Text" w:hAnsi="Google Sans Text" w:cs="Google Sans Text"/>
          <w:b/>
          <w:color w:val="1B1C1D"/>
        </w:rPr>
        <w:t>4.3% en 2026</w:t>
      </w:r>
      <w:r>
        <w:rPr>
          <w:rFonts w:ascii="Google Sans Text" w:eastAsia="Google Sans Text" w:hAnsi="Google Sans Text" w:cs="Google Sans Text"/>
          <w:color w:val="1B1C1D"/>
        </w:rPr>
        <w:t>.</w:t>
      </w:r>
      <w:r>
        <w:rPr>
          <w:rFonts w:ascii="Google Sans Text" w:eastAsia="Google Sans Text" w:hAnsi="Google Sans Text" w:cs="Google Sans Text"/>
          <w:color w:val="575B5F"/>
          <w:sz w:val="24"/>
          <w:szCs w:val="24"/>
          <w:vertAlign w:val="superscript"/>
        </w:rPr>
        <w:t>4</w:t>
      </w:r>
    </w:p>
    <w:p w14:paraId="5804AACD"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La resiliencia en 2025 se atribuye a "aranceles estadounidenses más bajos de lo esperado y al gasto gubernamental".</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Sin embargo, la desaceleración prevista para 2026 refleja la opinión del FMI de que "las perspectivas de crecimiento más débiles en China... pesarán sobre sus socios comerciales" a medio plazo.</w:t>
      </w:r>
      <w:r>
        <w:rPr>
          <w:rFonts w:ascii="Google Sans Text" w:eastAsia="Google Sans Text" w:hAnsi="Google Sans Text" w:cs="Google Sans Text"/>
          <w:color w:val="575B5F"/>
          <w:sz w:val="24"/>
          <w:szCs w:val="24"/>
          <w:vertAlign w:val="superscript"/>
        </w:rPr>
        <w:t>14</w:t>
      </w:r>
    </w:p>
    <w:p w14:paraId="46195D01"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La estrategia económica de China se ha convertido en un delicado acto de equilibrio. Está utilizando el estímulo fiscal interno para amortiguar el impacto directo de los aranceles estadounidenses, mientras que, simultáneamente, redirige sus exportaciones hacia el "resto del mundo" para eludir estas barreras comerciales.</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rPr>
        <w:t xml:space="preserve"> Este giro estratégico está alterando los flujos comerciales mundiales y creando nuevas presiones competitivas en otros mercados. Las exportaciones chinas a </w:t>
      </w:r>
      <w:proofErr w:type="gramStart"/>
      <w:r>
        <w:rPr>
          <w:rFonts w:ascii="Google Sans Text" w:eastAsia="Google Sans Text" w:hAnsi="Google Sans Text" w:cs="Google Sans Text"/>
          <w:color w:val="1B1C1D"/>
        </w:rPr>
        <w:t>EE.UU.</w:t>
      </w:r>
      <w:proofErr w:type="gramEnd"/>
      <w:r>
        <w:rPr>
          <w:rFonts w:ascii="Google Sans Text" w:eastAsia="Google Sans Text" w:hAnsi="Google Sans Text" w:cs="Google Sans Text"/>
          <w:color w:val="1B1C1D"/>
        </w:rPr>
        <w:t xml:space="preserve"> están disminuyendo, pero sus exportaciones totales se mantienen fuertes porque las ventas al resto del mundo están compensando con creces esta caída.</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rPr>
        <w:t xml:space="preserve"> Esto implica una reorientación de mercancías, potencialmente a precios más bajos para ganar cuota de mercado, hacia otras regiones como el Sudeste Asiático, América Latina y, de forma crucial, Europa. Esto plantea un nuevo desafío para los productores europeos, que ahora se enfrentan a una mayor competencia de productos chinos que antes se destinaban al mercado estadounidense, un efecto de tercer orden de las </w:t>
      </w:r>
      <w:proofErr w:type="spellStart"/>
      <w:r>
        <w:rPr>
          <w:rFonts w:ascii="Google Sans Text" w:eastAsia="Google Sans Text" w:hAnsi="Google Sans Text" w:cs="Google Sans Text"/>
          <w:color w:val="1B1C1D"/>
        </w:rPr>
        <w:t>tensioniones</w:t>
      </w:r>
      <w:proofErr w:type="spellEnd"/>
      <w:r>
        <w:rPr>
          <w:rFonts w:ascii="Google Sans Text" w:eastAsia="Google Sans Text" w:hAnsi="Google Sans Text" w:cs="Google Sans Text"/>
          <w:color w:val="1B1C1D"/>
        </w:rPr>
        <w:t xml:space="preserve"> comerciales </w:t>
      </w:r>
      <w:proofErr w:type="gramStart"/>
      <w:r>
        <w:rPr>
          <w:rFonts w:ascii="Google Sans Text" w:eastAsia="Google Sans Text" w:hAnsi="Google Sans Text" w:cs="Google Sans Text"/>
          <w:color w:val="1B1C1D"/>
        </w:rPr>
        <w:t>EE.UU.</w:t>
      </w:r>
      <w:proofErr w:type="gramEnd"/>
      <w:r>
        <w:rPr>
          <w:rFonts w:ascii="Google Sans Text" w:eastAsia="Google Sans Text" w:hAnsi="Google Sans Text" w:cs="Google Sans Text"/>
          <w:color w:val="1B1C1D"/>
        </w:rPr>
        <w:t xml:space="preserve">-China que impacta directamente en el ya debilitado sector industrial de la Zona </w:t>
      </w:r>
      <w:proofErr w:type="gramStart"/>
      <w:r>
        <w:rPr>
          <w:rFonts w:ascii="Google Sans Text" w:eastAsia="Google Sans Text" w:hAnsi="Google Sans Text" w:cs="Google Sans Text"/>
          <w:color w:val="1B1C1D"/>
        </w:rPr>
        <w:t>Euro</w:t>
      </w:r>
      <w:proofErr w:type="gramEnd"/>
      <w:r>
        <w:rPr>
          <w:rFonts w:ascii="Google Sans Text" w:eastAsia="Google Sans Text" w:hAnsi="Google Sans Text" w:cs="Google Sans Text"/>
          <w:color w:val="1B1C1D"/>
        </w:rPr>
        <w:t>.</w:t>
      </w:r>
    </w:p>
    <w:p w14:paraId="5611C3BB" w14:textId="77777777" w:rsidR="00DF08CE" w:rsidRDefault="00DF08CE">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028ECB02" w14:textId="77777777" w:rsidR="00DF08CE"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 xml:space="preserve">2.3 La Zona </w:t>
      </w:r>
      <w:proofErr w:type="gramStart"/>
      <w:r>
        <w:rPr>
          <w:rFonts w:ascii="Google Sans" w:eastAsia="Google Sans" w:hAnsi="Google Sans" w:cs="Google Sans"/>
          <w:color w:val="1B1C1D"/>
        </w:rPr>
        <w:t>Euro</w:t>
      </w:r>
      <w:proofErr w:type="gramEnd"/>
      <w:r>
        <w:rPr>
          <w:rFonts w:ascii="Google Sans" w:eastAsia="Google Sans" w:hAnsi="Google Sans" w:cs="Google Sans"/>
          <w:color w:val="1B1C1D"/>
        </w:rPr>
        <w:t>: Una Recuperación Tímida y Frágil</w:t>
      </w:r>
    </w:p>
    <w:p w14:paraId="3B0EB8AF" w14:textId="77777777" w:rsidR="00DF08CE" w:rsidRDefault="00DF08CE">
      <w:pPr>
        <w:pBdr>
          <w:top w:val="nil"/>
          <w:left w:val="nil"/>
          <w:bottom w:val="nil"/>
          <w:right w:val="nil"/>
          <w:between w:val="nil"/>
        </w:pBdr>
        <w:spacing w:after="240" w:line="275" w:lineRule="auto"/>
        <w:rPr>
          <w:rFonts w:ascii="Google Sans" w:eastAsia="Google Sans" w:hAnsi="Google Sans" w:cs="Google Sans"/>
          <w:color w:val="1B1C1D"/>
        </w:rPr>
      </w:pPr>
    </w:p>
    <w:p w14:paraId="3ECFEAD1"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A diferencia de </w:t>
      </w:r>
      <w:proofErr w:type="gramStart"/>
      <w:r>
        <w:rPr>
          <w:rFonts w:ascii="Google Sans Text" w:eastAsia="Google Sans Text" w:hAnsi="Google Sans Text" w:cs="Google Sans Text"/>
          <w:color w:val="1B1C1D"/>
        </w:rPr>
        <w:t>EE.UU.</w:t>
      </w:r>
      <w:proofErr w:type="gramEnd"/>
      <w:r>
        <w:rPr>
          <w:rFonts w:ascii="Google Sans Text" w:eastAsia="Google Sans Text" w:hAnsi="Google Sans Text" w:cs="Google Sans Text"/>
          <w:color w:val="1B1C1D"/>
        </w:rPr>
        <w:t xml:space="preserve"> y China, la Zona </w:t>
      </w:r>
      <w:proofErr w:type="gramStart"/>
      <w:r>
        <w:rPr>
          <w:rFonts w:ascii="Google Sans Text" w:eastAsia="Google Sans Text" w:hAnsi="Google Sans Text" w:cs="Google Sans Text"/>
          <w:color w:val="1B1C1D"/>
        </w:rPr>
        <w:t>Euro</w:t>
      </w:r>
      <w:proofErr w:type="gramEnd"/>
      <w:r>
        <w:rPr>
          <w:rFonts w:ascii="Google Sans Text" w:eastAsia="Google Sans Text" w:hAnsi="Google Sans Text" w:cs="Google Sans Text"/>
          <w:color w:val="1B1C1D"/>
        </w:rPr>
        <w:t xml:space="preserve"> ha sufrido una revisión a la baja de sus previsiones por parte de todas las instituciones, reflejando una fragilidad económica persistente.</w:t>
      </w:r>
    </w:p>
    <w:p w14:paraId="49702B38"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La actualización de julio del </w:t>
      </w:r>
      <w:r>
        <w:rPr>
          <w:rFonts w:ascii="Google Sans Text" w:eastAsia="Google Sans Text" w:hAnsi="Google Sans Text" w:cs="Google Sans Text"/>
          <w:b/>
          <w:color w:val="1B1C1D"/>
        </w:rPr>
        <w:t>FMI</w:t>
      </w:r>
      <w:r>
        <w:rPr>
          <w:rFonts w:ascii="Google Sans Text" w:eastAsia="Google Sans Text" w:hAnsi="Google Sans Text" w:cs="Google Sans Text"/>
          <w:color w:val="1B1C1D"/>
        </w:rPr>
        <w:t xml:space="preserve"> reduce la previsión de crecimiento del PIB para 2025 del 1.1% al </w:t>
      </w:r>
      <w:r>
        <w:rPr>
          <w:rFonts w:ascii="Google Sans Text" w:eastAsia="Google Sans Text" w:hAnsi="Google Sans Text" w:cs="Google Sans Text"/>
          <w:b/>
          <w:color w:val="1B1C1D"/>
        </w:rPr>
        <w:t>0.9%</w:t>
      </w:r>
      <w:r>
        <w:rPr>
          <w:rFonts w:ascii="Google Sans Text" w:eastAsia="Google Sans Text" w:hAnsi="Google Sans Text" w:cs="Google Sans Text"/>
          <w:color w:val="1B1C1D"/>
        </w:rPr>
        <w:t>.</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La</w:t>
      </w:r>
    </w:p>
    <w:p w14:paraId="6F36CE45"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b/>
          <w:color w:val="1B1C1D"/>
        </w:rPr>
        <w:t>OCDE</w:t>
      </w:r>
      <w:r>
        <w:rPr>
          <w:rFonts w:ascii="Google Sans Text" w:eastAsia="Google Sans Text" w:hAnsi="Google Sans Text" w:cs="Google Sans Text"/>
          <w:color w:val="1B1C1D"/>
        </w:rPr>
        <w:t xml:space="preserve"> también recortó su previsión del 1.5% al </w:t>
      </w:r>
      <w:r>
        <w:rPr>
          <w:rFonts w:ascii="Google Sans Text" w:eastAsia="Google Sans Text" w:hAnsi="Google Sans Text" w:cs="Google Sans Text"/>
          <w:b/>
          <w:color w:val="1B1C1D"/>
        </w:rPr>
        <w:t>1.0%</w:t>
      </w:r>
      <w:r>
        <w:rPr>
          <w:rFonts w:ascii="Google Sans Text" w:eastAsia="Google Sans Text" w:hAnsi="Google Sans Text" w:cs="Google Sans Text"/>
          <w:color w:val="1B1C1D"/>
        </w:rPr>
        <w:t>.</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rPr>
        <w:t xml:space="preserve"> La última previsión del</w:t>
      </w:r>
    </w:p>
    <w:p w14:paraId="24941F7C"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rPr>
        <w:t>BCE</w:t>
      </w:r>
      <w:r>
        <w:rPr>
          <w:rFonts w:ascii="Google Sans Text" w:eastAsia="Google Sans Text" w:hAnsi="Google Sans Text" w:cs="Google Sans Text"/>
          <w:color w:val="1B1C1D"/>
        </w:rPr>
        <w:t xml:space="preserve"> (junio) se sitúa en el </w:t>
      </w:r>
      <w:r>
        <w:rPr>
          <w:rFonts w:ascii="Google Sans Text" w:eastAsia="Google Sans Text" w:hAnsi="Google Sans Text" w:cs="Google Sans Text"/>
          <w:b/>
          <w:color w:val="1B1C1D"/>
        </w:rPr>
        <w:t>0.9% para 2025</w:t>
      </w:r>
      <w:r>
        <w:rPr>
          <w:rFonts w:ascii="Google Sans Text" w:eastAsia="Google Sans Text" w:hAnsi="Google Sans Text" w:cs="Google Sans Text"/>
          <w:color w:val="1B1C1D"/>
        </w:rPr>
        <w:t xml:space="preserve"> y el </w:t>
      </w:r>
      <w:r>
        <w:rPr>
          <w:rFonts w:ascii="Google Sans Text" w:eastAsia="Google Sans Text" w:hAnsi="Google Sans Text" w:cs="Google Sans Text"/>
          <w:b/>
          <w:color w:val="1B1C1D"/>
        </w:rPr>
        <w:t>1.1% para 2026</w:t>
      </w:r>
      <w:r>
        <w:rPr>
          <w:rFonts w:ascii="Google Sans Text" w:eastAsia="Google Sans Text" w:hAnsi="Google Sans Text" w:cs="Google Sans Text"/>
          <w:color w:val="1B1C1D"/>
        </w:rPr>
        <w:t>.</w:t>
      </w:r>
      <w:r>
        <w:rPr>
          <w:rFonts w:ascii="Google Sans Text" w:eastAsia="Google Sans Text" w:hAnsi="Google Sans Text" w:cs="Google Sans Text"/>
          <w:color w:val="575B5F"/>
          <w:sz w:val="24"/>
          <w:szCs w:val="24"/>
          <w:vertAlign w:val="superscript"/>
        </w:rPr>
        <w:t>9</w:t>
      </w:r>
    </w:p>
    <w:p w14:paraId="6188999B"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En consonancia con la debilidad de la demanda, la previsión de inflación (IPCA) también se ha revisado a la baja, del 2.3% al </w:t>
      </w:r>
      <w:r>
        <w:rPr>
          <w:rFonts w:ascii="Google Sans Text" w:eastAsia="Google Sans Text" w:hAnsi="Google Sans Text" w:cs="Google Sans Text"/>
          <w:b/>
          <w:color w:val="1B1C1D"/>
        </w:rPr>
        <w:t>2.0% para 2025</w:t>
      </w:r>
      <w:r>
        <w:rPr>
          <w:rFonts w:ascii="Google Sans Text" w:eastAsia="Google Sans Text" w:hAnsi="Google Sans Text" w:cs="Google Sans Text"/>
          <w:color w:val="1B1C1D"/>
        </w:rPr>
        <w:t xml:space="preserve"> (FMI), alineándose con la propia proyección del BCE del </w:t>
      </w:r>
      <w:r>
        <w:rPr>
          <w:rFonts w:ascii="Google Sans Text" w:eastAsia="Google Sans Text" w:hAnsi="Google Sans Text" w:cs="Google Sans Text"/>
          <w:b/>
          <w:color w:val="1B1C1D"/>
        </w:rPr>
        <w:t>2.0%</w:t>
      </w:r>
      <w:r>
        <w:rPr>
          <w:rFonts w:ascii="Google Sans Text" w:eastAsia="Google Sans Text" w:hAnsi="Google Sans Text" w:cs="Google Sans Text"/>
          <w:color w:val="1B1C1D"/>
        </w:rPr>
        <w:t>.</w:t>
      </w:r>
      <w:r>
        <w:rPr>
          <w:rFonts w:ascii="Google Sans Text" w:eastAsia="Google Sans Text" w:hAnsi="Google Sans Text" w:cs="Google Sans Text"/>
          <w:color w:val="575B5F"/>
          <w:sz w:val="24"/>
          <w:szCs w:val="24"/>
          <w:vertAlign w:val="superscript"/>
        </w:rPr>
        <w:t>9</w:t>
      </w:r>
    </w:p>
    <w:p w14:paraId="5079CD0A"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Las razones de esta debilidad son múltiples: desafíos de competitividad persistentes, el impacto de la incertidumbre en la inversión y un lastre mayor de lo esperado de las tensiones comerciales.</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rPr>
        <w:t xml:space="preserve"> Es importante destacar que la sólida cifra de crecimiento del PIB del primer trimestre de 2025 para la Zona </w:t>
      </w:r>
      <w:proofErr w:type="gramStart"/>
      <w:r>
        <w:rPr>
          <w:rFonts w:ascii="Google Sans Text" w:eastAsia="Google Sans Text" w:hAnsi="Google Sans Text" w:cs="Google Sans Text"/>
          <w:color w:val="1B1C1D"/>
        </w:rPr>
        <w:t>Euro</w:t>
      </w:r>
      <w:proofErr w:type="gramEnd"/>
      <w:r>
        <w:rPr>
          <w:rFonts w:ascii="Google Sans Text" w:eastAsia="Google Sans Text" w:hAnsi="Google Sans Text" w:cs="Google Sans Text"/>
          <w:color w:val="1B1C1D"/>
        </w:rPr>
        <w:t xml:space="preserve"> fue fuertemente distorsionada por un aumento de las exportaciones farmacéuticas de Irlanda, lo que enmascaró la debilidad en el resto del bloque.</w:t>
      </w:r>
      <w:r>
        <w:rPr>
          <w:rFonts w:ascii="Google Sans Text" w:eastAsia="Google Sans Text" w:hAnsi="Google Sans Text" w:cs="Google Sans Text"/>
          <w:color w:val="575B5F"/>
          <w:sz w:val="24"/>
          <w:szCs w:val="24"/>
          <w:vertAlign w:val="superscript"/>
        </w:rPr>
        <w:t>1</w:t>
      </w:r>
    </w:p>
    <w:p w14:paraId="6BBBCA87" w14:textId="77777777" w:rsidR="00DF08CE"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575B5F"/>
          <w:sz w:val="24"/>
          <w:szCs w:val="24"/>
          <w:vertAlign w:val="superscript"/>
        </w:rPr>
      </w:pPr>
      <w:r>
        <w:pict w14:anchorId="2B2D103B">
          <v:rect id="_x0000_i1027" style="width:0;height:1.5pt" o:hralign="center" o:hrstd="t" o:hr="t" fillcolor="#a0a0a0" stroked="f"/>
        </w:pict>
      </w:r>
    </w:p>
    <w:p w14:paraId="1E558B57" w14:textId="77777777" w:rsidR="00DF08CE" w:rsidRDefault="00000000">
      <w:pPr>
        <w:pStyle w:val="Ttulo2"/>
        <w:spacing w:before="0" w:after="120" w:line="275" w:lineRule="auto"/>
        <w:rPr>
          <w:rFonts w:ascii="Google Sans" w:eastAsia="Google Sans" w:hAnsi="Google Sans" w:cs="Google Sans"/>
          <w:color w:val="1B1C1D"/>
        </w:rPr>
      </w:pPr>
      <w:r>
        <w:rPr>
          <w:rFonts w:ascii="Google Sans" w:eastAsia="Google Sans" w:hAnsi="Google Sans" w:cs="Google Sans"/>
          <w:color w:val="1B1C1D"/>
        </w:rPr>
        <w:t>Sección 3: Foco en el País: El Rendimiento Superior de la Economía Española</w:t>
      </w:r>
    </w:p>
    <w:p w14:paraId="52CF4A77" w14:textId="77777777" w:rsidR="00DF08CE" w:rsidRDefault="00DF08CE">
      <w:pPr>
        <w:pBdr>
          <w:top w:val="nil"/>
          <w:left w:val="nil"/>
          <w:bottom w:val="nil"/>
          <w:right w:val="nil"/>
          <w:between w:val="nil"/>
        </w:pBdr>
        <w:spacing w:after="240" w:line="275" w:lineRule="auto"/>
        <w:rPr>
          <w:rFonts w:ascii="Google Sans" w:eastAsia="Google Sans" w:hAnsi="Google Sans" w:cs="Google Sans"/>
          <w:color w:val="1B1C1D"/>
        </w:rPr>
      </w:pPr>
    </w:p>
    <w:p w14:paraId="7568AA78" w14:textId="77777777" w:rsidR="00DF08CE" w:rsidRDefault="00DF08CE">
      <w:pPr>
        <w:pBdr>
          <w:top w:val="nil"/>
          <w:left w:val="nil"/>
          <w:bottom w:val="nil"/>
          <w:right w:val="nil"/>
          <w:between w:val="nil"/>
        </w:pBdr>
        <w:spacing w:after="240" w:line="275" w:lineRule="auto"/>
        <w:rPr>
          <w:rFonts w:ascii="Google Sans" w:eastAsia="Google Sans" w:hAnsi="Google Sans" w:cs="Google Sans"/>
          <w:color w:val="1B1C1D"/>
        </w:rPr>
      </w:pPr>
    </w:p>
    <w:p w14:paraId="4B60A55E" w14:textId="77777777" w:rsidR="00DF08CE"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3.1 Proyecciones Macroeconómicas Actualizadas de España: Un Faro de Crecimiento</w:t>
      </w:r>
    </w:p>
    <w:p w14:paraId="55B4F704" w14:textId="77777777" w:rsidR="00DF08CE" w:rsidRDefault="00DF08CE">
      <w:pPr>
        <w:pBdr>
          <w:top w:val="nil"/>
          <w:left w:val="nil"/>
          <w:bottom w:val="nil"/>
          <w:right w:val="nil"/>
          <w:between w:val="nil"/>
        </w:pBdr>
        <w:spacing w:after="240" w:line="275" w:lineRule="auto"/>
        <w:rPr>
          <w:rFonts w:ascii="Google Sans" w:eastAsia="Google Sans" w:hAnsi="Google Sans" w:cs="Google Sans"/>
          <w:color w:val="1B1C1D"/>
        </w:rPr>
      </w:pPr>
    </w:p>
    <w:p w14:paraId="1A753590" w14:textId="77777777" w:rsidR="00DF08CE"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En marcado contraste con la media de la Zona </w:t>
      </w:r>
      <w:proofErr w:type="gramStart"/>
      <w:r>
        <w:rPr>
          <w:rFonts w:ascii="Google Sans Text" w:eastAsia="Google Sans Text" w:hAnsi="Google Sans Text" w:cs="Google Sans Text"/>
          <w:color w:val="1B1C1D"/>
        </w:rPr>
        <w:t>Euro</w:t>
      </w:r>
      <w:proofErr w:type="gramEnd"/>
      <w:r>
        <w:rPr>
          <w:rFonts w:ascii="Google Sans Text" w:eastAsia="Google Sans Text" w:hAnsi="Google Sans Text" w:cs="Google Sans Text"/>
          <w:color w:val="1B1C1D"/>
        </w:rPr>
        <w:t>, la economía española muestra un dinamismo notable, posicionándose como una de las economías avanzadas de mayor crecimiento.</w:t>
      </w:r>
    </w:p>
    <w:p w14:paraId="1D949860" w14:textId="77777777" w:rsidR="00DF08CE"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FMI:</w:t>
      </w:r>
      <w:r>
        <w:rPr>
          <w:rFonts w:ascii="Google Sans Text" w:eastAsia="Google Sans Text" w:hAnsi="Google Sans Text" w:cs="Google Sans Text"/>
          <w:color w:val="1B1C1D"/>
        </w:rPr>
        <w:t xml:space="preserve"> Proyecta un crecimiento del PIB del </w:t>
      </w:r>
      <w:r>
        <w:rPr>
          <w:rFonts w:ascii="Google Sans Text" w:eastAsia="Google Sans Text" w:hAnsi="Google Sans Text" w:cs="Google Sans Text"/>
          <w:b/>
          <w:color w:val="1B1C1D"/>
        </w:rPr>
        <w:t>2.5% en 2025</w:t>
      </w:r>
      <w:r>
        <w:rPr>
          <w:rFonts w:ascii="Google Sans Text" w:eastAsia="Google Sans Text" w:hAnsi="Google Sans Text" w:cs="Google Sans Text"/>
          <w:color w:val="1B1C1D"/>
        </w:rPr>
        <w:t xml:space="preserve">, moderándose al </w:t>
      </w:r>
      <w:r>
        <w:rPr>
          <w:rFonts w:ascii="Google Sans Text" w:eastAsia="Google Sans Text" w:hAnsi="Google Sans Text" w:cs="Google Sans Text"/>
          <w:b/>
          <w:color w:val="1B1C1D"/>
        </w:rPr>
        <w:t>1.8% en 2026</w:t>
      </w:r>
      <w:r>
        <w:rPr>
          <w:rFonts w:ascii="Google Sans Text" w:eastAsia="Google Sans Text" w:hAnsi="Google Sans Text" w:cs="Google Sans Text"/>
          <w:color w:val="1B1C1D"/>
        </w:rPr>
        <w:t>.</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rPr>
        <w:t xml:space="preserve"> Esta previsión supone una revisión al alza con respecto a estimaciones anteriores.</w:t>
      </w:r>
    </w:p>
    <w:p w14:paraId="68A66427" w14:textId="77777777" w:rsidR="00DF08CE"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OCDE:</w:t>
      </w:r>
      <w:r>
        <w:rPr>
          <w:rFonts w:ascii="Google Sans Text" w:eastAsia="Google Sans Text" w:hAnsi="Google Sans Text" w:cs="Google Sans Text"/>
          <w:color w:val="1B1C1D"/>
        </w:rPr>
        <w:t xml:space="preserve"> Aunque ha revisado ligeramente a la baja su previsión debido al entorno comercial </w:t>
      </w:r>
      <w:proofErr w:type="gramStart"/>
      <w:r>
        <w:rPr>
          <w:rFonts w:ascii="Google Sans Text" w:eastAsia="Google Sans Text" w:hAnsi="Google Sans Text" w:cs="Google Sans Text"/>
          <w:color w:val="1B1C1D"/>
        </w:rPr>
        <w:t>global,</w:t>
      </w:r>
      <w:proofErr w:type="gramEnd"/>
      <w:r>
        <w:rPr>
          <w:rFonts w:ascii="Google Sans Text" w:eastAsia="Google Sans Text" w:hAnsi="Google Sans Text" w:cs="Google Sans Text"/>
          <w:color w:val="1B1C1D"/>
        </w:rPr>
        <w:t xml:space="preserve"> sigue proyectando un robusto </w:t>
      </w:r>
      <w:r>
        <w:rPr>
          <w:rFonts w:ascii="Google Sans Text" w:eastAsia="Google Sans Text" w:hAnsi="Google Sans Text" w:cs="Google Sans Text"/>
          <w:b/>
          <w:color w:val="1B1C1D"/>
        </w:rPr>
        <w:t>2.4% en 2025</w:t>
      </w:r>
      <w:r>
        <w:rPr>
          <w:rFonts w:ascii="Google Sans Text" w:eastAsia="Google Sans Text" w:hAnsi="Google Sans Text" w:cs="Google Sans Text"/>
          <w:color w:val="1B1C1D"/>
        </w:rPr>
        <w:t xml:space="preserve"> y un </w:t>
      </w:r>
      <w:r>
        <w:rPr>
          <w:rFonts w:ascii="Google Sans Text" w:eastAsia="Google Sans Text" w:hAnsi="Google Sans Text" w:cs="Google Sans Text"/>
          <w:b/>
          <w:color w:val="1B1C1D"/>
        </w:rPr>
        <w:t>1.9% en 2026</w:t>
      </w:r>
      <w:r>
        <w:rPr>
          <w:rFonts w:ascii="Google Sans Text" w:eastAsia="Google Sans Text" w:hAnsi="Google Sans Text" w:cs="Google Sans Text"/>
          <w:color w:val="1B1C1D"/>
        </w:rPr>
        <w:t>.</w:t>
      </w:r>
      <w:r>
        <w:rPr>
          <w:rFonts w:ascii="Google Sans Text" w:eastAsia="Google Sans Text" w:hAnsi="Google Sans Text" w:cs="Google Sans Text"/>
          <w:color w:val="575B5F"/>
          <w:sz w:val="24"/>
          <w:szCs w:val="24"/>
          <w:vertAlign w:val="superscript"/>
        </w:rPr>
        <w:t>8</w:t>
      </w:r>
    </w:p>
    <w:p w14:paraId="525D1EBC" w14:textId="77777777" w:rsidR="00DF08CE"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Banco de España:</w:t>
      </w:r>
      <w:r>
        <w:rPr>
          <w:rFonts w:ascii="Google Sans Text" w:eastAsia="Google Sans Text" w:hAnsi="Google Sans Text" w:cs="Google Sans Text"/>
          <w:color w:val="1B1C1D"/>
        </w:rPr>
        <w:t xml:space="preserve"> Las proyecciones del banco central nacional son consistentes con esta visión. Su previsión de junio sitúa el crecimiento en el </w:t>
      </w:r>
      <w:r>
        <w:rPr>
          <w:rFonts w:ascii="Google Sans Text" w:eastAsia="Google Sans Text" w:hAnsi="Google Sans Text" w:cs="Google Sans Text"/>
          <w:b/>
          <w:color w:val="1B1C1D"/>
        </w:rPr>
        <w:t>2.4% para 2025</w:t>
      </w:r>
      <w:r>
        <w:rPr>
          <w:rFonts w:ascii="Google Sans Text" w:eastAsia="Google Sans Text" w:hAnsi="Google Sans Text" w:cs="Google Sans Text"/>
          <w:color w:val="1B1C1D"/>
        </w:rPr>
        <w:t xml:space="preserve"> y el </w:t>
      </w:r>
      <w:r>
        <w:rPr>
          <w:rFonts w:ascii="Google Sans Text" w:eastAsia="Google Sans Text" w:hAnsi="Google Sans Text" w:cs="Google Sans Text"/>
          <w:b/>
          <w:color w:val="1B1C1D"/>
        </w:rPr>
        <w:t>1.8% para 2026</w:t>
      </w:r>
      <w:r>
        <w:rPr>
          <w:rFonts w:ascii="Google Sans Text" w:eastAsia="Google Sans Text" w:hAnsi="Google Sans Text" w:cs="Google Sans Text"/>
          <w:color w:val="1B1C1D"/>
        </w:rPr>
        <w:t>.</w:t>
      </w:r>
      <w:r>
        <w:rPr>
          <w:rFonts w:ascii="Google Sans Text" w:eastAsia="Google Sans Text" w:hAnsi="Google Sans Text" w:cs="Google Sans Text"/>
          <w:color w:val="575B5F"/>
          <w:sz w:val="24"/>
          <w:szCs w:val="24"/>
          <w:vertAlign w:val="superscript"/>
        </w:rPr>
        <w:t>10</w:t>
      </w:r>
    </w:p>
    <w:p w14:paraId="5970E1B8" w14:textId="77777777" w:rsidR="00DF08CE"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rPr>
        <w:t>Inflación:</w:t>
      </w:r>
      <w:r>
        <w:rPr>
          <w:rFonts w:ascii="Google Sans Text" w:eastAsia="Google Sans Text" w:hAnsi="Google Sans Text" w:cs="Google Sans Text"/>
          <w:color w:val="1B1C1D"/>
        </w:rPr>
        <w:t xml:space="preserve"> Las proyecciones de inflación (IPCA) para 2025 se sitúan en el </w:t>
      </w:r>
      <w:r>
        <w:rPr>
          <w:rFonts w:ascii="Google Sans Text" w:eastAsia="Google Sans Text" w:hAnsi="Google Sans Text" w:cs="Google Sans Text"/>
          <w:b/>
          <w:color w:val="1B1C1D"/>
        </w:rPr>
        <w:t>2.4%</w:t>
      </w:r>
      <w:r>
        <w:rPr>
          <w:rFonts w:ascii="Google Sans Text" w:eastAsia="Google Sans Text" w:hAnsi="Google Sans Text" w:cs="Google Sans Text"/>
          <w:color w:val="1B1C1D"/>
        </w:rPr>
        <w:t xml:space="preserve"> según el Banco de España.</w:t>
      </w:r>
      <w:r>
        <w:rPr>
          <w:rFonts w:ascii="Google Sans Text" w:eastAsia="Google Sans Text" w:hAnsi="Google Sans Text" w:cs="Google Sans Text"/>
          <w:color w:val="575B5F"/>
          <w:sz w:val="24"/>
          <w:szCs w:val="24"/>
          <w:vertAlign w:val="superscript"/>
        </w:rPr>
        <w:t>10</w:t>
      </w:r>
    </w:p>
    <w:p w14:paraId="5A903E5D" w14:textId="77777777" w:rsidR="00DF08CE" w:rsidRDefault="00DF08CE">
      <w:pPr>
        <w:pBdr>
          <w:top w:val="nil"/>
          <w:left w:val="nil"/>
          <w:bottom w:val="nil"/>
          <w:right w:val="nil"/>
          <w:between w:val="nil"/>
        </w:pBdr>
        <w:spacing w:before="240" w:after="240" w:line="275" w:lineRule="auto"/>
        <w:rPr>
          <w:rFonts w:ascii="Google Sans Text" w:eastAsia="Google Sans Text" w:hAnsi="Google Sans Text" w:cs="Google Sans Text"/>
          <w:color w:val="575B5F"/>
          <w:sz w:val="24"/>
          <w:szCs w:val="24"/>
          <w:vertAlign w:val="superscript"/>
        </w:rPr>
      </w:pPr>
    </w:p>
    <w:p w14:paraId="6AB54C8D" w14:textId="77777777" w:rsidR="00DF08CE"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3.2 Desglosando la Resiliencia Española: Motores del Éxito</w:t>
      </w:r>
    </w:p>
    <w:p w14:paraId="4846A419" w14:textId="77777777" w:rsidR="00DF08CE" w:rsidRDefault="00DF08CE">
      <w:pPr>
        <w:pBdr>
          <w:top w:val="nil"/>
          <w:left w:val="nil"/>
          <w:bottom w:val="nil"/>
          <w:right w:val="nil"/>
          <w:between w:val="nil"/>
        </w:pBdr>
        <w:spacing w:after="240" w:line="275" w:lineRule="auto"/>
        <w:rPr>
          <w:rFonts w:ascii="Google Sans" w:eastAsia="Google Sans" w:hAnsi="Google Sans" w:cs="Google Sans"/>
          <w:color w:val="1B1C1D"/>
        </w:rPr>
      </w:pPr>
    </w:p>
    <w:p w14:paraId="59123BFB"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El rendimiento superior de España se atribuye a una combinación de factores internos y a una estructura económica que la ha hecho menos vulnerable a los recientes shocks globales.</w:t>
      </w:r>
    </w:p>
    <w:p w14:paraId="2B93F16A"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La fortaleza de la </w:t>
      </w:r>
      <w:r>
        <w:rPr>
          <w:rFonts w:ascii="Google Sans Text" w:eastAsia="Google Sans Text" w:hAnsi="Google Sans Text" w:cs="Google Sans Text"/>
          <w:b/>
          <w:color w:val="1B1C1D"/>
        </w:rPr>
        <w:t>demanda interna</w:t>
      </w:r>
      <w:r>
        <w:rPr>
          <w:rFonts w:ascii="Google Sans Text" w:eastAsia="Google Sans Text" w:hAnsi="Google Sans Text" w:cs="Google Sans Text"/>
          <w:color w:val="1B1C1D"/>
        </w:rPr>
        <w:t>, impulsada por un mercado laboral sorprendentemente robusto y un consumo privado resiliente, es el principal motor del crecimiento.</w:t>
      </w:r>
      <w:r>
        <w:rPr>
          <w:rFonts w:ascii="Google Sans Text" w:eastAsia="Google Sans Text" w:hAnsi="Google Sans Text" w:cs="Google Sans Text"/>
          <w:color w:val="575B5F"/>
          <w:sz w:val="24"/>
          <w:szCs w:val="24"/>
          <w:vertAlign w:val="superscript"/>
        </w:rPr>
        <w:t>19</w:t>
      </w:r>
      <w:r>
        <w:rPr>
          <w:rFonts w:ascii="Google Sans Text" w:eastAsia="Google Sans Text" w:hAnsi="Google Sans Text" w:cs="Google Sans Text"/>
          <w:color w:val="1B1C1D"/>
        </w:rPr>
        <w:t xml:space="preserve"> El sector servicios, y en particular el</w:t>
      </w:r>
    </w:p>
    <w:p w14:paraId="65A13231"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b/>
          <w:color w:val="1B1C1D"/>
        </w:rPr>
        <w:t>turismo</w:t>
      </w:r>
      <w:r>
        <w:rPr>
          <w:rFonts w:ascii="Google Sans Text" w:eastAsia="Google Sans Text" w:hAnsi="Google Sans Text" w:cs="Google Sans Text"/>
          <w:color w:val="1B1C1D"/>
        </w:rPr>
        <w:t>, ha demostrado una gran fortaleza, siendo menos susceptible a las guerras arancelarias centradas en bienes manufacturados.</w:t>
      </w:r>
      <w:r>
        <w:rPr>
          <w:rFonts w:ascii="Google Sans Text" w:eastAsia="Google Sans Text" w:hAnsi="Google Sans Text" w:cs="Google Sans Text"/>
          <w:color w:val="575B5F"/>
          <w:sz w:val="24"/>
          <w:szCs w:val="24"/>
          <w:vertAlign w:val="superscript"/>
        </w:rPr>
        <w:t>18</w:t>
      </w:r>
    </w:p>
    <w:p w14:paraId="740F74F6"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Además, el FMI destaca explícitamente la </w:t>
      </w:r>
      <w:r>
        <w:rPr>
          <w:rFonts w:ascii="Google Sans Text" w:eastAsia="Google Sans Text" w:hAnsi="Google Sans Text" w:cs="Google Sans Text"/>
          <w:b/>
          <w:color w:val="1B1C1D"/>
        </w:rPr>
        <w:t>"baja exposición de la economía española a las exportaciones a Estados Unidos"</w:t>
      </w:r>
      <w:r>
        <w:rPr>
          <w:rFonts w:ascii="Google Sans Text" w:eastAsia="Google Sans Text" w:hAnsi="Google Sans Text" w:cs="Google Sans Text"/>
          <w:color w:val="1B1C1D"/>
        </w:rPr>
        <w:t xml:space="preserve"> como una razón clave de su resiliencia frente a la guerra comercial.</w:t>
      </w:r>
      <w:r>
        <w:rPr>
          <w:rFonts w:ascii="Google Sans Text" w:eastAsia="Google Sans Text" w:hAnsi="Google Sans Text" w:cs="Google Sans Text"/>
          <w:color w:val="575B5F"/>
          <w:sz w:val="24"/>
          <w:szCs w:val="24"/>
          <w:vertAlign w:val="superscript"/>
        </w:rPr>
        <w:t>7</w:t>
      </w:r>
    </w:p>
    <w:p w14:paraId="1007088B" w14:textId="77777777" w:rsidR="00DF08CE" w:rsidRDefault="00DF08CE">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78DF63AE" w14:textId="77777777" w:rsidR="00DF08CE" w:rsidRDefault="00000000">
      <w:pPr>
        <w:pStyle w:val="Ttulo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3.3 Identificando Riesgos y Vulnerabilidades Futuras</w:t>
      </w:r>
    </w:p>
    <w:p w14:paraId="2D000A57" w14:textId="77777777" w:rsidR="00DF08CE" w:rsidRDefault="00DF08CE">
      <w:pPr>
        <w:pBdr>
          <w:top w:val="nil"/>
          <w:left w:val="nil"/>
          <w:bottom w:val="nil"/>
          <w:right w:val="nil"/>
          <w:between w:val="nil"/>
        </w:pBdr>
        <w:spacing w:after="240" w:line="275" w:lineRule="auto"/>
        <w:rPr>
          <w:rFonts w:ascii="Google Sans" w:eastAsia="Google Sans" w:hAnsi="Google Sans" w:cs="Google Sans"/>
          <w:color w:val="1B1C1D"/>
        </w:rPr>
      </w:pPr>
    </w:p>
    <w:p w14:paraId="75997675"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A pesar de su fortaleza interna, la economía española no es inmune a los desafíos externos e internos. Un riesgo clave es el posible efecto contagio de una desaceleración prolongada en sus principales socios comerciales europeos, especialmente Alemania y Francia.</w:t>
      </w:r>
      <w:r>
        <w:rPr>
          <w:rFonts w:ascii="Google Sans Text" w:eastAsia="Google Sans Text" w:hAnsi="Google Sans Text" w:cs="Google Sans Text"/>
          <w:color w:val="575B5F"/>
          <w:sz w:val="24"/>
          <w:szCs w:val="24"/>
          <w:vertAlign w:val="superscript"/>
        </w:rPr>
        <w:t>20</w:t>
      </w:r>
    </w:p>
    <w:p w14:paraId="1B6251F4"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A largo plazo, los informes también señalan desafíos estructurales que deben abordarse para sostener este crecimiento, como la baja productividad, la necesidad de que las empresas aumenten su tamaño para ser más competitivas y el imperativo de mantener la disciplina fiscal.</w:t>
      </w:r>
      <w:r>
        <w:rPr>
          <w:rFonts w:ascii="Google Sans Text" w:eastAsia="Google Sans Text" w:hAnsi="Google Sans Text" w:cs="Google Sans Text"/>
          <w:color w:val="575B5F"/>
          <w:sz w:val="24"/>
          <w:szCs w:val="24"/>
          <w:vertAlign w:val="superscript"/>
        </w:rPr>
        <w:t>5</w:t>
      </w:r>
    </w:p>
    <w:p w14:paraId="25EEC367"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El rendimiento superior sostenido de España en comparación con economías centrales de la Zona </w:t>
      </w:r>
      <w:proofErr w:type="gramStart"/>
      <w:r>
        <w:rPr>
          <w:rFonts w:ascii="Google Sans Text" w:eastAsia="Google Sans Text" w:hAnsi="Google Sans Text" w:cs="Google Sans Text"/>
          <w:color w:val="1B1C1D"/>
        </w:rPr>
        <w:t>Euro</w:t>
      </w:r>
      <w:proofErr w:type="gramEnd"/>
      <w:r>
        <w:rPr>
          <w:rFonts w:ascii="Google Sans Text" w:eastAsia="Google Sans Text" w:hAnsi="Google Sans Text" w:cs="Google Sans Text"/>
          <w:color w:val="1B1C1D"/>
        </w:rPr>
        <w:t xml:space="preserve"> como Alemania crea una dinámica de "Europa a dos velocidades". Esto plantea un dilema significativo para la política monetaria única del BCE. Una tasa de interés apropiada para una economía alemana estancada puede ser demasiado laxa para una economía española en fuerte crecimiento. Esta política única, aplicada a España, podría ser excesivamente estimulante, generando riesgos como la inflación de los precios de los activos, especialmente en el sector inmobiliario, una vulnerabilidad histórica de la economía española.</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rPr>
        <w:t xml:space="preserve"> Este dilema de política complica la gestión de la Eurozona y crea riesgos a medio plazo para los países que no están sincronizados con la media del bloque.</w:t>
      </w:r>
    </w:p>
    <w:p w14:paraId="53CAFE04" w14:textId="77777777" w:rsidR="00DF08CE"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7AD46CBD">
          <v:rect id="_x0000_i1028" style="width:0;height:1.5pt" o:hralign="center" o:hrstd="t" o:hr="t" fillcolor="#a0a0a0" stroked="f"/>
        </w:pict>
      </w:r>
    </w:p>
    <w:p w14:paraId="2D7FB0C0" w14:textId="77777777" w:rsidR="00DF08CE" w:rsidRDefault="00000000">
      <w:pPr>
        <w:pStyle w:val="Ttulo2"/>
        <w:spacing w:before="0" w:after="120" w:line="275" w:lineRule="auto"/>
        <w:rPr>
          <w:rFonts w:ascii="Google Sans" w:eastAsia="Google Sans" w:hAnsi="Google Sans" w:cs="Google Sans"/>
          <w:color w:val="1B1C1D"/>
        </w:rPr>
      </w:pPr>
      <w:r>
        <w:rPr>
          <w:rFonts w:ascii="Google Sans" w:eastAsia="Google Sans" w:hAnsi="Google Sans" w:cs="Google Sans"/>
          <w:color w:val="1B1C1D"/>
        </w:rPr>
        <w:t>Sección 4: Datos de Previsión Verificables y Repositorio de Fuentes</w:t>
      </w:r>
    </w:p>
    <w:p w14:paraId="16AC92AA" w14:textId="77777777" w:rsidR="00DF08CE" w:rsidRDefault="00DF08CE">
      <w:pPr>
        <w:pBdr>
          <w:top w:val="nil"/>
          <w:left w:val="nil"/>
          <w:bottom w:val="nil"/>
          <w:right w:val="nil"/>
          <w:between w:val="nil"/>
        </w:pBdr>
        <w:spacing w:after="240" w:line="275" w:lineRule="auto"/>
        <w:rPr>
          <w:rFonts w:ascii="Google Sans" w:eastAsia="Google Sans" w:hAnsi="Google Sans" w:cs="Google Sans"/>
          <w:color w:val="1B1C1D"/>
        </w:rPr>
      </w:pPr>
    </w:p>
    <w:p w14:paraId="75834039" w14:textId="77777777" w:rsidR="00DF08CE"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Esta sección presenta la tabla de datos definitiva y completa en un formato estructurado, diseñada para facilitar su consulta y exportación. Sirve como la referencia maestra para todo el informe, garantizando la total verificabilidad de cada dato presentado.</w:t>
      </w:r>
    </w:p>
    <w:tbl>
      <w:tblPr>
        <w:tblStyle w:val="a0"/>
        <w:tblW w:w="9360" w:type="dxa"/>
        <w:tblInd w:w="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338"/>
        <w:gridCol w:w="1337"/>
        <w:gridCol w:w="1337"/>
        <w:gridCol w:w="1337"/>
        <w:gridCol w:w="1337"/>
        <w:gridCol w:w="1337"/>
        <w:gridCol w:w="1337"/>
      </w:tblGrid>
      <w:tr w:rsidR="00DF08CE" w14:paraId="65BC5934"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43BAF3"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Institución</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67DA04"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Región/País</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2387D9"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Indicador</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1F52BD"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Previsión Anterior (</w:t>
            </w:r>
            <w:proofErr w:type="gramStart"/>
            <w:r>
              <w:rPr>
                <w:rFonts w:ascii="Google Sans Text" w:eastAsia="Google Sans Text" w:hAnsi="Google Sans Text" w:cs="Google Sans Text"/>
                <w:color w:val="1B1C1D"/>
              </w:rPr>
              <w:t>Abril</w:t>
            </w:r>
            <w:proofErr w:type="gramEnd"/>
            <w:r>
              <w:rPr>
                <w:rFonts w:ascii="Google Sans Text" w:eastAsia="Google Sans Text" w:hAnsi="Google Sans Text" w:cs="Google Sans Text"/>
                <w:color w:val="1B1C1D"/>
              </w:rPr>
              <w:t xml:space="preserve"> 2025)</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B624BB"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Previsión Actual (Junio/Julio 2025)</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ABEE62"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Previsión 2026</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E4CDE9"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Enlace a la Fuente</w:t>
            </w:r>
          </w:p>
        </w:tc>
      </w:tr>
      <w:tr w:rsidR="00DF08CE" w14:paraId="22BDDD9B"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B71FF2"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FMI</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514AA6"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Mundo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A9A3F0"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PIB Real</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02FBAB"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2.8%</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7D7B8E"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F9C568"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3.1%</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172A47"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(https://www.imf.org/en/Publications/WEO/Issues/2025/07/29/world-economic-outlook-update-july-2025)</w:t>
            </w:r>
          </w:p>
        </w:tc>
      </w:tr>
      <w:tr w:rsidR="00DF08CE" w14:paraId="32D658A4"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EB47CA"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2E1156"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5BDADE"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Inflación</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E8738E"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4.2%</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A5E0A1"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4.2%</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A77CB8"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3.6%</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687ED4"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(https://www.imf.org/en/Publications/WEO/Issues/2025/07/29/world-economic-outlook-update-july-2025)</w:t>
            </w:r>
          </w:p>
        </w:tc>
      </w:tr>
      <w:tr w:rsidR="00DF08CE" w14:paraId="5DFB68D9"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136C4F"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2EFFA5"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roofErr w:type="gramStart"/>
            <w:r>
              <w:rPr>
                <w:rFonts w:ascii="Google Sans Text" w:eastAsia="Google Sans Text" w:hAnsi="Google Sans Text" w:cs="Google Sans Text"/>
                <w:color w:val="1B1C1D"/>
              </w:rPr>
              <w:t>EE.UU.</w:t>
            </w:r>
            <w:proofErr w:type="gramEnd"/>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123AD4"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PIB Real</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67A158"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1.8%</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A58E00"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1.9%</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457874"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2AEE0E"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B57D0"/>
                <w:u w:val="single"/>
              </w:rPr>
            </w:pPr>
            <w:hyperlink r:id="rId5">
              <w:r>
                <w:rPr>
                  <w:rFonts w:ascii="Google Sans Text" w:eastAsia="Google Sans Text" w:hAnsi="Google Sans Text" w:cs="Google Sans Text"/>
                  <w:color w:val="0B57D0"/>
                  <w:u w:val="single"/>
                </w:rPr>
                <w:t>https://apnews.com/article/imf-world-economy-trump-tariff-china-f384c9c165b0c7152edb53d66a9ebd6b</w:t>
              </w:r>
            </w:hyperlink>
          </w:p>
        </w:tc>
      </w:tr>
      <w:tr w:rsidR="00DF08CE" w14:paraId="3EB7D3AE"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F23DE7"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0B57D0"/>
                <w:u w:val="single"/>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3D7E11"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0B57D0"/>
                <w:u w:val="single"/>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1A2007"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Inflación (Core PCE)</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4B7BD1"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2.8%</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D9E182"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3.1%</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AD173D"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2.4%</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613EED"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t>
            </w:r>
          </w:p>
        </w:tc>
      </w:tr>
      <w:tr w:rsidR="00DF08CE" w14:paraId="338133A0"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4092ED"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516A56"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China</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692FB8"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PIB Real</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5894D1"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4.6%</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51C9C6"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4.8%</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B6A571"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F5CB33"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B57D0"/>
                <w:u w:val="single"/>
              </w:rPr>
            </w:pPr>
            <w:hyperlink r:id="rId6">
              <w:r>
                <w:rPr>
                  <w:rFonts w:ascii="Google Sans Text" w:eastAsia="Google Sans Text" w:hAnsi="Google Sans Text" w:cs="Google Sans Text"/>
                  <w:color w:val="0B57D0"/>
                  <w:u w:val="single"/>
                </w:rPr>
                <w:t>https://apnews.com/article/imf-world-economy-trump-tariff-china-f384c9c165b0c7152edb53d66a9ebd6b</w:t>
              </w:r>
            </w:hyperlink>
          </w:p>
        </w:tc>
      </w:tr>
      <w:tr w:rsidR="00DF08CE" w14:paraId="6D47A79F"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A661A1"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0B57D0"/>
                <w:u w:val="single"/>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FC5BE4"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0B57D0"/>
                <w:u w:val="single"/>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5E2427"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Inflación</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9DBC57"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s.d.</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4F3D15"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s.d.</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E722A1"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s.d.</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281F5B"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t>
            </w:r>
          </w:p>
        </w:tc>
      </w:tr>
      <w:tr w:rsidR="00DF08CE" w14:paraId="34BF1008"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F66D21"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C57A42"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Zona </w:t>
            </w:r>
            <w:proofErr w:type="gramStart"/>
            <w:r>
              <w:rPr>
                <w:rFonts w:ascii="Google Sans Text" w:eastAsia="Google Sans Text" w:hAnsi="Google Sans Text" w:cs="Google Sans Text"/>
                <w:color w:val="1B1C1D"/>
              </w:rPr>
              <w:t>Euro</w:t>
            </w:r>
            <w:proofErr w:type="gramEnd"/>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F005C7"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PIB Real</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1A67EE"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1.1%</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11D79F"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0.9%</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89D783"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1.2%</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1D93E2"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B57D0"/>
                <w:u w:val="single"/>
              </w:rPr>
            </w:pPr>
            <w:hyperlink r:id="rId7">
              <w:r>
                <w:rPr>
                  <w:rFonts w:ascii="Google Sans Text" w:eastAsia="Google Sans Text" w:hAnsi="Google Sans Text" w:cs="Google Sans Text"/>
                  <w:color w:val="0B57D0"/>
                  <w:u w:val="single"/>
                </w:rPr>
                <w:t>https://apnews.com/article/imf-world-economy-trump-tariff-china-f384c9c165b0c7152edb53d66a9ebd6b</w:t>
              </w:r>
            </w:hyperlink>
          </w:p>
        </w:tc>
      </w:tr>
      <w:tr w:rsidR="00DF08CE" w14:paraId="638EA789"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D6CEF6"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0B57D0"/>
                <w:u w:val="single"/>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CE74DA"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0B57D0"/>
                <w:u w:val="single"/>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65C5F4"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Inflación (IPCA)</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681E18"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2.3%</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57739A"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FAE8EE"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1.6%</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C6FAC1"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t>
            </w:r>
          </w:p>
        </w:tc>
      </w:tr>
      <w:tr w:rsidR="00DF08CE" w14:paraId="7630A63C"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BE2269"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1B1C1D"/>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3B08B7"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España</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C9FD9F"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PIB Real</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136587"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2.3%</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2AAF52"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2.5%</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94ABB8"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1.8%</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8C8E01"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B57D0"/>
                <w:u w:val="single"/>
              </w:rPr>
            </w:pPr>
            <w:hyperlink r:id="rId8">
              <w:r>
                <w:rPr>
                  <w:rFonts w:ascii="Google Sans Text" w:eastAsia="Google Sans Text" w:hAnsi="Google Sans Text" w:cs="Google Sans Text"/>
                  <w:color w:val="0B57D0"/>
                  <w:u w:val="single"/>
                </w:rPr>
                <w:t>https://www.imf.org/es/News/Articles/2025/04/10/mcs-041025-spain-staff-concluding-statement-of-the-2025-article-iv-mission</w:t>
              </w:r>
            </w:hyperlink>
          </w:p>
        </w:tc>
      </w:tr>
      <w:tr w:rsidR="00DF08CE" w14:paraId="231133DD"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663EE3"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0B57D0"/>
                <w:u w:val="single"/>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87644E"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0B57D0"/>
                <w:u w:val="single"/>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1FD603"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Inflación (IPCA)</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61E41D"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s.d.</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792120"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s.d.</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F89462"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s.d.</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611937"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t>
            </w:r>
          </w:p>
        </w:tc>
      </w:tr>
      <w:tr w:rsidR="00DF08CE" w14:paraId="7213D5B1"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FF79CD"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OCDE</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F0A97B"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Mundo</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A29EC2"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PIB Real</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B178D4"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3.1%</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753CB3"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2.9%</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A67724"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2.9%</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35914C"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B57D0"/>
                <w:u w:val="single"/>
              </w:rPr>
            </w:pPr>
            <w:hyperlink r:id="rId9">
              <w:r>
                <w:rPr>
                  <w:rFonts w:ascii="Google Sans Text" w:eastAsia="Google Sans Text" w:hAnsi="Google Sans Text" w:cs="Google Sans Text"/>
                  <w:color w:val="0B57D0"/>
                  <w:u w:val="single"/>
                </w:rPr>
                <w:t>https://www.bankinter.com/blog/mercados/perspectivas-economicas-ocde</w:t>
              </w:r>
            </w:hyperlink>
          </w:p>
        </w:tc>
      </w:tr>
      <w:tr w:rsidR="00DF08CE" w14:paraId="56F4732E"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F9D345"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0B57D0"/>
                <w:u w:val="single"/>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2AF486"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proofErr w:type="gramStart"/>
            <w:r>
              <w:rPr>
                <w:rFonts w:ascii="Google Sans Text" w:eastAsia="Google Sans Text" w:hAnsi="Google Sans Text" w:cs="Google Sans Text"/>
                <w:color w:val="1B1C1D"/>
              </w:rPr>
              <w:t>EE.UU.</w:t>
            </w:r>
            <w:proofErr w:type="gramEnd"/>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EF3BFA0"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PIB Real</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0B3C35"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1.8%</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11AA5A"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1.6%</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C10428"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1.5%</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C9349F"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B57D0"/>
                <w:u w:val="single"/>
              </w:rPr>
            </w:pPr>
            <w:hyperlink r:id="rId10">
              <w:r>
                <w:rPr>
                  <w:rFonts w:ascii="Google Sans Text" w:eastAsia="Google Sans Text" w:hAnsi="Google Sans Text" w:cs="Google Sans Text"/>
                  <w:color w:val="0B57D0"/>
                  <w:u w:val="single"/>
                </w:rPr>
                <w:t>https://www.bankinter.com/blog/mercados/perspectivas-economicas-ocde</w:t>
              </w:r>
            </w:hyperlink>
          </w:p>
        </w:tc>
      </w:tr>
      <w:tr w:rsidR="00DF08CE" w14:paraId="457DC290"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F3871F"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0B57D0"/>
                <w:u w:val="single"/>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93A12D"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China</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9B315D"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PIB Real</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C1738E"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4.7%</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7B0653"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4.7%</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AE5BD1"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4.3%</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054D92"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B57D0"/>
                <w:u w:val="single"/>
              </w:rPr>
            </w:pPr>
            <w:hyperlink r:id="rId11">
              <w:r>
                <w:rPr>
                  <w:rFonts w:ascii="Google Sans Text" w:eastAsia="Google Sans Text" w:hAnsi="Google Sans Text" w:cs="Google Sans Text"/>
                  <w:color w:val="0B57D0"/>
                  <w:u w:val="single"/>
                </w:rPr>
                <w:t>https://www.oecd.org/en/publications/oecd-economic-outlook-volume-2025-issue-1_83363382-en.html</w:t>
              </w:r>
            </w:hyperlink>
          </w:p>
        </w:tc>
      </w:tr>
      <w:tr w:rsidR="00DF08CE" w14:paraId="6C475A39"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9DF724"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0B57D0"/>
                <w:u w:val="single"/>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1ED7FA"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Zona </w:t>
            </w:r>
            <w:proofErr w:type="gramStart"/>
            <w:r>
              <w:rPr>
                <w:rFonts w:ascii="Google Sans Text" w:eastAsia="Google Sans Text" w:hAnsi="Google Sans Text" w:cs="Google Sans Text"/>
                <w:color w:val="1B1C1D"/>
              </w:rPr>
              <w:t>Euro</w:t>
            </w:r>
            <w:proofErr w:type="gramEnd"/>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5058A1"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PIB Real</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64E4EB"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1.5%</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AEC956"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6ECA66"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1.2%</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5782F2"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B57D0"/>
                <w:u w:val="single"/>
              </w:rPr>
            </w:pPr>
            <w:hyperlink r:id="rId12">
              <w:r>
                <w:rPr>
                  <w:rFonts w:ascii="Google Sans Text" w:eastAsia="Google Sans Text" w:hAnsi="Google Sans Text" w:cs="Google Sans Text"/>
                  <w:color w:val="0B57D0"/>
                  <w:u w:val="single"/>
                </w:rPr>
                <w:t>https://www.bankinter.com/blog/mercados/perspectivas-economicas-ocde</w:t>
              </w:r>
            </w:hyperlink>
          </w:p>
        </w:tc>
      </w:tr>
      <w:tr w:rsidR="00DF08CE" w14:paraId="37F274FD"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5D3485"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0B57D0"/>
                <w:u w:val="single"/>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B496DF"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España</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0CF0EE"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PIB Real</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83C77B"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2.6%</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889E9C"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2.4%</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39BA49"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1.9%</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AC66D8"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B57D0"/>
                <w:u w:val="single"/>
              </w:rPr>
            </w:pPr>
            <w:hyperlink r:id="rId13">
              <w:r>
                <w:rPr>
                  <w:rFonts w:ascii="Google Sans Text" w:eastAsia="Google Sans Text" w:hAnsi="Google Sans Text" w:cs="Google Sans Text"/>
                  <w:color w:val="0B57D0"/>
                  <w:u w:val="single"/>
                </w:rPr>
                <w:t>https://www.bankinter.com/blog/mercados/perspectivas-economicas-ocde</w:t>
              </w:r>
            </w:hyperlink>
          </w:p>
        </w:tc>
      </w:tr>
      <w:tr w:rsidR="00DF08CE" w14:paraId="02D29730"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7EE5F3"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BCE</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488586"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Zona </w:t>
            </w:r>
            <w:proofErr w:type="gramStart"/>
            <w:r>
              <w:rPr>
                <w:rFonts w:ascii="Google Sans Text" w:eastAsia="Google Sans Text" w:hAnsi="Google Sans Text" w:cs="Google Sans Text"/>
                <w:color w:val="1B1C1D"/>
              </w:rPr>
              <w:t>Euro</w:t>
            </w:r>
            <w:proofErr w:type="gramEnd"/>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375566"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PIB Real</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D3FD4D"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1.2%</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A9453F"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0.9%</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D2464D"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1.1%</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DFA53B"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B57D0"/>
                <w:u w:val="single"/>
              </w:rPr>
            </w:pPr>
            <w:hyperlink r:id="rId14">
              <w:r>
                <w:rPr>
                  <w:rFonts w:ascii="Google Sans Text" w:eastAsia="Google Sans Text" w:hAnsi="Google Sans Text" w:cs="Google Sans Text"/>
                  <w:color w:val="0B57D0"/>
                  <w:u w:val="single"/>
                </w:rPr>
                <w:t>https://www.ecb.europa.eu/press/projections/html/index.en.html</w:t>
              </w:r>
            </w:hyperlink>
          </w:p>
        </w:tc>
      </w:tr>
      <w:tr w:rsidR="00DF08CE" w14:paraId="0EB144BA"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FEBC3D"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0B57D0"/>
                <w:u w:val="single"/>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886C05"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0B57D0"/>
                <w:u w:val="single"/>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A4CFF7"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Inflación (IPCA)</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CAE988"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2.2%</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6DE618"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2.0%</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920D878"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1.6%</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1D64CF"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B57D0"/>
                <w:u w:val="single"/>
              </w:rPr>
            </w:pPr>
            <w:hyperlink r:id="rId15">
              <w:r>
                <w:rPr>
                  <w:rFonts w:ascii="Google Sans Text" w:eastAsia="Google Sans Text" w:hAnsi="Google Sans Text" w:cs="Google Sans Text"/>
                  <w:color w:val="0B57D0"/>
                  <w:u w:val="single"/>
                </w:rPr>
                <w:t>https://www.ecb.europa.eu/press/projections/html/index.en.html</w:t>
              </w:r>
            </w:hyperlink>
          </w:p>
        </w:tc>
      </w:tr>
      <w:tr w:rsidR="00DF08CE" w14:paraId="63B9D2EC"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A639DC"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Bco. de España</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067FCB"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España</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61648B"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PIB Real</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5ADB25"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2.7% (Mar)</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96128E"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2.4% (Jun)</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528B94"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1.8% (Jun)</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C19D3D"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B57D0"/>
                <w:u w:val="single"/>
              </w:rPr>
            </w:pPr>
            <w:hyperlink r:id="rId16">
              <w:r>
                <w:rPr>
                  <w:rFonts w:ascii="Google Sans Text" w:eastAsia="Google Sans Text" w:hAnsi="Google Sans Text" w:cs="Google Sans Text"/>
                  <w:color w:val="0B57D0"/>
                  <w:u w:val="single"/>
                </w:rPr>
                <w:t>https://www.bankinter.com/blog/mercados/prevision-pib-banco-espana</w:t>
              </w:r>
            </w:hyperlink>
          </w:p>
        </w:tc>
      </w:tr>
      <w:tr w:rsidR="00DF08CE" w14:paraId="7E227426" w14:textId="77777777">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DD968D"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0B57D0"/>
                <w:u w:val="single"/>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E591DD" w14:textId="77777777" w:rsidR="00DF08CE" w:rsidRDefault="00DF08CE">
            <w:pPr>
              <w:pBdr>
                <w:top w:val="nil"/>
                <w:left w:val="nil"/>
                <w:bottom w:val="nil"/>
                <w:right w:val="nil"/>
                <w:between w:val="nil"/>
              </w:pBdr>
              <w:spacing w:line="276" w:lineRule="auto"/>
              <w:rPr>
                <w:rFonts w:ascii="Google Sans Text" w:eastAsia="Google Sans Text" w:hAnsi="Google Sans Text" w:cs="Google Sans Text"/>
                <w:color w:val="0B57D0"/>
                <w:u w:val="single"/>
              </w:rPr>
            </w:pP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19A1D3"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Inflación (IPCA)</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6213FD"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2.5% (Mar)</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A59FF5"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2.4% (Jun)</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F66C0C"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1.7% (Jun)</w:t>
            </w:r>
          </w:p>
        </w:tc>
        <w:tc>
          <w:tcPr>
            <w:tcW w:w="133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9BCD5F" w14:textId="77777777" w:rsidR="00DF08CE"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0B57D0"/>
                <w:u w:val="single"/>
              </w:rPr>
            </w:pPr>
            <w:hyperlink r:id="rId17">
              <w:r>
                <w:rPr>
                  <w:rFonts w:ascii="Google Sans Text" w:eastAsia="Google Sans Text" w:hAnsi="Google Sans Text" w:cs="Google Sans Text"/>
                  <w:color w:val="0B57D0"/>
                  <w:u w:val="single"/>
                </w:rPr>
                <w:t>https://www.bankinter.com/blog/mercados/prevision-pib-banco-espana</w:t>
              </w:r>
            </w:hyperlink>
          </w:p>
        </w:tc>
      </w:tr>
    </w:tbl>
    <w:p w14:paraId="0ACED051" w14:textId="77777777" w:rsidR="00DF08CE" w:rsidRDefault="00000000">
      <w:pPr>
        <w:pBdr>
          <w:top w:val="nil"/>
          <w:left w:val="nil"/>
          <w:bottom w:val="nil"/>
          <w:right w:val="nil"/>
          <w:between w:val="nil"/>
        </w:pBdr>
        <w:spacing w:before="480" w:after="255" w:line="275" w:lineRule="auto"/>
        <w:rPr>
          <w:rFonts w:ascii="Google Sans Text" w:eastAsia="Google Sans Text" w:hAnsi="Google Sans Text" w:cs="Google Sans Text"/>
          <w:i/>
          <w:color w:val="1B1C1D"/>
        </w:rPr>
      </w:pPr>
      <w:r>
        <w:rPr>
          <w:rFonts w:ascii="Google Sans Text" w:eastAsia="Google Sans Text" w:hAnsi="Google Sans Text" w:cs="Google Sans Text"/>
          <w:i/>
          <w:color w:val="1B1C1D"/>
        </w:rPr>
        <w:t xml:space="preserve">Nota: Los datos de inflación del FMI para </w:t>
      </w:r>
      <w:proofErr w:type="gramStart"/>
      <w:r>
        <w:rPr>
          <w:rFonts w:ascii="Google Sans Text" w:eastAsia="Google Sans Text" w:hAnsi="Google Sans Text" w:cs="Google Sans Text"/>
          <w:i/>
          <w:color w:val="1B1C1D"/>
        </w:rPr>
        <w:t>EE.UU.</w:t>
      </w:r>
      <w:proofErr w:type="gramEnd"/>
      <w:r>
        <w:rPr>
          <w:rFonts w:ascii="Google Sans Text" w:eastAsia="Google Sans Text" w:hAnsi="Google Sans Text" w:cs="Google Sans Text"/>
          <w:i/>
          <w:color w:val="1B1C1D"/>
        </w:rPr>
        <w:t xml:space="preserve"> y la Zona </w:t>
      </w:r>
      <w:proofErr w:type="gramStart"/>
      <w:r>
        <w:rPr>
          <w:rFonts w:ascii="Google Sans Text" w:eastAsia="Google Sans Text" w:hAnsi="Google Sans Text" w:cs="Google Sans Text"/>
          <w:i/>
          <w:color w:val="1B1C1D"/>
        </w:rPr>
        <w:t>Euro</w:t>
      </w:r>
      <w:proofErr w:type="gramEnd"/>
      <w:r>
        <w:rPr>
          <w:rFonts w:ascii="Google Sans Text" w:eastAsia="Google Sans Text" w:hAnsi="Google Sans Text" w:cs="Google Sans Text"/>
          <w:i/>
          <w:color w:val="1B1C1D"/>
        </w:rPr>
        <w:t xml:space="preserve"> no se detallaron en el comunicado de prensa de la actualización de julio; las cifras reflejadas se basan en la tabla original proporcionada por el usuario para mantener la comparabilidad.</w:t>
      </w:r>
    </w:p>
    <w:p w14:paraId="3B1A664D" w14:textId="77777777" w:rsidR="00DF08CE" w:rsidRDefault="00000000">
      <w:pPr>
        <w:pStyle w:val="Ttulo4"/>
        <w:spacing w:before="0"/>
        <w:rPr>
          <w:rFonts w:ascii="Google Sans" w:eastAsia="Google Sans" w:hAnsi="Google Sans" w:cs="Google Sans"/>
        </w:rPr>
      </w:pPr>
      <w:r>
        <w:rPr>
          <w:rFonts w:ascii="Google Sans" w:eastAsia="Google Sans" w:hAnsi="Google Sans" w:cs="Google Sans"/>
        </w:rPr>
        <w:t>Obras citadas</w:t>
      </w:r>
    </w:p>
    <w:p w14:paraId="7ED37E9F" w14:textId="77777777" w:rsidR="00DF08CE" w:rsidRDefault="00000000">
      <w:pPr>
        <w:numPr>
          <w:ilvl w:val="0"/>
          <w:numId w:val="2"/>
        </w:numPr>
        <w:pBdr>
          <w:top w:val="nil"/>
          <w:left w:val="nil"/>
          <w:bottom w:val="nil"/>
          <w:right w:val="nil"/>
          <w:between w:val="nil"/>
        </w:pBdr>
      </w:pPr>
      <w:r>
        <w:rPr>
          <w:rFonts w:ascii="Google Sans" w:eastAsia="Google Sans" w:hAnsi="Google Sans" w:cs="Google Sans"/>
          <w:sz w:val="24"/>
          <w:szCs w:val="24"/>
        </w:rPr>
        <w:t xml:space="preserve">IMF </w:t>
      </w:r>
      <w:proofErr w:type="spellStart"/>
      <w:r>
        <w:rPr>
          <w:rFonts w:ascii="Google Sans" w:eastAsia="Google Sans" w:hAnsi="Google Sans" w:cs="Google Sans"/>
          <w:sz w:val="24"/>
          <w:szCs w:val="24"/>
        </w:rPr>
        <w:t>upgrades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outlook</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for</w:t>
      </w:r>
      <w:proofErr w:type="spellEnd"/>
      <w:r>
        <w:rPr>
          <w:rFonts w:ascii="Google Sans" w:eastAsia="Google Sans" w:hAnsi="Google Sans" w:cs="Google Sans"/>
          <w:sz w:val="24"/>
          <w:szCs w:val="24"/>
        </w:rPr>
        <w:t xml:space="preserve"> global </w:t>
      </w:r>
      <w:proofErr w:type="spellStart"/>
      <w:r>
        <w:rPr>
          <w:rFonts w:ascii="Google Sans" w:eastAsia="Google Sans" w:hAnsi="Google Sans" w:cs="Google Sans"/>
          <w:sz w:val="24"/>
          <w:szCs w:val="24"/>
        </w:rPr>
        <w:t>economy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citing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less-than-expected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damage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from</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Trump's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trade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wars</w:t>
      </w:r>
      <w:proofErr w:type="spellEnd"/>
      <w:r>
        <w:rPr>
          <w:rFonts w:ascii="Google Sans" w:eastAsia="Google Sans" w:hAnsi="Google Sans" w:cs="Google Sans"/>
          <w:sz w:val="24"/>
          <w:szCs w:val="24"/>
        </w:rPr>
        <w:t xml:space="preserve"> | AP News, fecha de acceso: agosto 19, 2025, </w:t>
      </w:r>
      <w:hyperlink r:id="rId18">
        <w:r>
          <w:rPr>
            <w:rFonts w:ascii="Google Sans" w:eastAsia="Google Sans" w:hAnsi="Google Sans" w:cs="Google Sans"/>
            <w:color w:val="0000EE"/>
            <w:sz w:val="24"/>
            <w:szCs w:val="24"/>
            <w:u w:val="single"/>
          </w:rPr>
          <w:t>https://apnews.com/article/imf-world-economy-trump-tariff-china-f384c9c165b0c7152edb53d66a9ebd6b</w:t>
        </w:r>
      </w:hyperlink>
    </w:p>
    <w:p w14:paraId="12AD941F" w14:textId="77777777" w:rsidR="00DF08CE" w:rsidRDefault="00000000">
      <w:pPr>
        <w:numPr>
          <w:ilvl w:val="0"/>
          <w:numId w:val="2"/>
        </w:numPr>
        <w:pBdr>
          <w:top w:val="nil"/>
          <w:left w:val="nil"/>
          <w:bottom w:val="nil"/>
          <w:right w:val="nil"/>
          <w:between w:val="nil"/>
        </w:pBdr>
      </w:pPr>
      <w:proofErr w:type="spellStart"/>
      <w:r>
        <w:rPr>
          <w:rFonts w:ascii="Google Sans" w:eastAsia="Google Sans" w:hAnsi="Google Sans" w:cs="Google Sans"/>
          <w:sz w:val="24"/>
          <w:szCs w:val="24"/>
        </w:rPr>
        <w:t>World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Economic</w:t>
      </w:r>
      <w:proofErr w:type="spellEnd"/>
      <w:r>
        <w:rPr>
          <w:rFonts w:ascii="Google Sans" w:eastAsia="Google Sans" w:hAnsi="Google Sans" w:cs="Google Sans"/>
          <w:sz w:val="24"/>
          <w:szCs w:val="24"/>
        </w:rPr>
        <w:t xml:space="preserve"> Outlook </w:t>
      </w:r>
      <w:proofErr w:type="spellStart"/>
      <w:r>
        <w:rPr>
          <w:rFonts w:ascii="Google Sans" w:eastAsia="Google Sans" w:hAnsi="Google Sans" w:cs="Google Sans"/>
          <w:sz w:val="24"/>
          <w:szCs w:val="24"/>
        </w:rPr>
        <w:t>Update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July</w:t>
      </w:r>
      <w:proofErr w:type="spellEnd"/>
      <w:r>
        <w:rPr>
          <w:rFonts w:ascii="Google Sans" w:eastAsia="Google Sans" w:hAnsi="Google Sans" w:cs="Google Sans"/>
          <w:sz w:val="24"/>
          <w:szCs w:val="24"/>
        </w:rPr>
        <w:t xml:space="preserve"> 2025, Global </w:t>
      </w:r>
      <w:proofErr w:type="spellStart"/>
      <w:r>
        <w:rPr>
          <w:rFonts w:ascii="Google Sans" w:eastAsia="Google Sans" w:hAnsi="Google Sans" w:cs="Google Sans"/>
          <w:sz w:val="24"/>
          <w:szCs w:val="24"/>
        </w:rPr>
        <w:t>Economy</w:t>
      </w:r>
      <w:proofErr w:type="spellEnd"/>
      <w:r>
        <w:rPr>
          <w:rFonts w:ascii="Google Sans" w:eastAsia="Google Sans" w:hAnsi="Google Sans" w:cs="Google Sans"/>
          <w:sz w:val="24"/>
          <w:szCs w:val="24"/>
        </w:rPr>
        <w:t xml:space="preserve"> ..., fecha de acceso: agosto 19, 2025, </w:t>
      </w:r>
      <w:hyperlink r:id="rId19">
        <w:r>
          <w:rPr>
            <w:rFonts w:ascii="Google Sans" w:eastAsia="Google Sans" w:hAnsi="Google Sans" w:cs="Google Sans"/>
            <w:color w:val="0000EE"/>
            <w:sz w:val="24"/>
            <w:szCs w:val="24"/>
            <w:u w:val="single"/>
          </w:rPr>
          <w:t>https://www.imf.org/-/media/Files/Publications/WEO/2025/update/july/english/text.ashx</w:t>
        </w:r>
      </w:hyperlink>
    </w:p>
    <w:p w14:paraId="28183491" w14:textId="77777777" w:rsidR="00DF08CE" w:rsidRDefault="00000000">
      <w:pPr>
        <w:numPr>
          <w:ilvl w:val="0"/>
          <w:numId w:val="2"/>
        </w:numPr>
        <w:pBdr>
          <w:top w:val="nil"/>
          <w:left w:val="nil"/>
          <w:bottom w:val="nil"/>
          <w:right w:val="nil"/>
          <w:between w:val="nil"/>
        </w:pBdr>
      </w:pPr>
      <w:r>
        <w:rPr>
          <w:rFonts w:ascii="Google Sans" w:eastAsia="Google Sans" w:hAnsi="Google Sans" w:cs="Google Sans"/>
          <w:sz w:val="24"/>
          <w:szCs w:val="24"/>
        </w:rPr>
        <w:t xml:space="preserve">OECD </w:t>
      </w:r>
      <w:proofErr w:type="spellStart"/>
      <w:r>
        <w:rPr>
          <w:rFonts w:ascii="Google Sans" w:eastAsia="Google Sans" w:hAnsi="Google Sans" w:cs="Google Sans"/>
          <w:sz w:val="24"/>
          <w:szCs w:val="24"/>
        </w:rPr>
        <w:t>Slashes</w:t>
      </w:r>
      <w:proofErr w:type="spellEnd"/>
      <w:r>
        <w:rPr>
          <w:rFonts w:ascii="Google Sans" w:eastAsia="Google Sans" w:hAnsi="Google Sans" w:cs="Google Sans"/>
          <w:sz w:val="24"/>
          <w:szCs w:val="24"/>
        </w:rPr>
        <w:t xml:space="preserve"> Global </w:t>
      </w:r>
      <w:proofErr w:type="spellStart"/>
      <w:r>
        <w:rPr>
          <w:rFonts w:ascii="Google Sans" w:eastAsia="Google Sans" w:hAnsi="Google Sans" w:cs="Google Sans"/>
          <w:sz w:val="24"/>
          <w:szCs w:val="24"/>
        </w:rPr>
        <w:t>Economic</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Forecasts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Amid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Tariffs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Trade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Uncertainty</w:t>
      </w:r>
      <w:proofErr w:type="spellEnd"/>
      <w:r>
        <w:rPr>
          <w:rFonts w:ascii="Google Sans" w:eastAsia="Google Sans" w:hAnsi="Google Sans" w:cs="Google Sans"/>
          <w:sz w:val="24"/>
          <w:szCs w:val="24"/>
        </w:rPr>
        <w:t xml:space="preserve"> - YouTube, fecha de acceso: agosto 19, 2025, </w:t>
      </w:r>
      <w:hyperlink r:id="rId20">
        <w:r>
          <w:rPr>
            <w:rFonts w:ascii="Google Sans" w:eastAsia="Google Sans" w:hAnsi="Google Sans" w:cs="Google Sans"/>
            <w:color w:val="0000EE"/>
            <w:sz w:val="24"/>
            <w:szCs w:val="24"/>
            <w:u w:val="single"/>
          </w:rPr>
          <w:t>https://www.youtube.com/watch?v=E-sUVQdcV3A&amp;pp=0gcJCf8Ao7VqN5tD</w:t>
        </w:r>
      </w:hyperlink>
    </w:p>
    <w:p w14:paraId="43A56735" w14:textId="77777777" w:rsidR="00DF08CE" w:rsidRDefault="00000000">
      <w:pPr>
        <w:numPr>
          <w:ilvl w:val="0"/>
          <w:numId w:val="2"/>
        </w:numPr>
        <w:pBdr>
          <w:top w:val="nil"/>
          <w:left w:val="nil"/>
          <w:bottom w:val="nil"/>
          <w:right w:val="nil"/>
          <w:between w:val="nil"/>
        </w:pBdr>
      </w:pPr>
      <w:r>
        <w:rPr>
          <w:rFonts w:ascii="Google Sans" w:eastAsia="Google Sans" w:hAnsi="Google Sans" w:cs="Google Sans"/>
          <w:sz w:val="24"/>
          <w:szCs w:val="24"/>
        </w:rPr>
        <w:t xml:space="preserve">OECD </w:t>
      </w:r>
      <w:proofErr w:type="spellStart"/>
      <w:r>
        <w:rPr>
          <w:rFonts w:ascii="Google Sans" w:eastAsia="Google Sans" w:hAnsi="Google Sans" w:cs="Google Sans"/>
          <w:sz w:val="24"/>
          <w:szCs w:val="24"/>
        </w:rPr>
        <w:t>Economic</w:t>
      </w:r>
      <w:proofErr w:type="spellEnd"/>
      <w:r>
        <w:rPr>
          <w:rFonts w:ascii="Google Sans" w:eastAsia="Google Sans" w:hAnsi="Google Sans" w:cs="Google Sans"/>
          <w:sz w:val="24"/>
          <w:szCs w:val="24"/>
        </w:rPr>
        <w:t xml:space="preserve"> Outlook, </w:t>
      </w:r>
      <w:proofErr w:type="spellStart"/>
      <w:r>
        <w:rPr>
          <w:rFonts w:ascii="Google Sans" w:eastAsia="Google Sans" w:hAnsi="Google Sans" w:cs="Google Sans"/>
          <w:sz w:val="24"/>
          <w:szCs w:val="24"/>
        </w:rPr>
        <w:t>Volume</w:t>
      </w:r>
      <w:proofErr w:type="spellEnd"/>
      <w:r>
        <w:rPr>
          <w:rFonts w:ascii="Google Sans" w:eastAsia="Google Sans" w:hAnsi="Google Sans" w:cs="Google Sans"/>
          <w:sz w:val="24"/>
          <w:szCs w:val="24"/>
        </w:rPr>
        <w:t xml:space="preserve"> 2025 </w:t>
      </w:r>
      <w:proofErr w:type="spellStart"/>
      <w:r>
        <w:rPr>
          <w:rFonts w:ascii="Google Sans" w:eastAsia="Google Sans" w:hAnsi="Google Sans" w:cs="Google Sans"/>
          <w:sz w:val="24"/>
          <w:szCs w:val="24"/>
        </w:rPr>
        <w:t>Issue</w:t>
      </w:r>
      <w:proofErr w:type="spellEnd"/>
      <w:r>
        <w:rPr>
          <w:rFonts w:ascii="Google Sans" w:eastAsia="Google Sans" w:hAnsi="Google Sans" w:cs="Google Sans"/>
          <w:sz w:val="24"/>
          <w:szCs w:val="24"/>
        </w:rPr>
        <w:t xml:space="preserve"> 1 | OECD, fecha de acceso: agosto 19, 2025, </w:t>
      </w:r>
      <w:hyperlink r:id="rId21">
        <w:r>
          <w:rPr>
            <w:rFonts w:ascii="Google Sans" w:eastAsia="Google Sans" w:hAnsi="Google Sans" w:cs="Google Sans"/>
            <w:color w:val="0000EE"/>
            <w:sz w:val="24"/>
            <w:szCs w:val="24"/>
            <w:u w:val="single"/>
          </w:rPr>
          <w:t>https://www.oecd.org/en/publications/oecd-economic-outlook-volume-2025-issue-1_83363382-en.html</w:t>
        </w:r>
      </w:hyperlink>
    </w:p>
    <w:p w14:paraId="3B752F80" w14:textId="77777777" w:rsidR="00DF08CE" w:rsidRDefault="00000000">
      <w:pPr>
        <w:numPr>
          <w:ilvl w:val="0"/>
          <w:numId w:val="2"/>
        </w:numPr>
        <w:pBdr>
          <w:top w:val="nil"/>
          <w:left w:val="nil"/>
          <w:bottom w:val="nil"/>
          <w:right w:val="nil"/>
          <w:between w:val="nil"/>
        </w:pBdr>
      </w:pPr>
      <w:r>
        <w:rPr>
          <w:rFonts w:ascii="Google Sans" w:eastAsia="Google Sans" w:hAnsi="Google Sans" w:cs="Google Sans"/>
          <w:sz w:val="24"/>
          <w:szCs w:val="24"/>
        </w:rPr>
        <w:t xml:space="preserve">España: Declaración del personal técnico al término de la misión ..., fecha de acceso: agosto 19, 2025, </w:t>
      </w:r>
      <w:hyperlink r:id="rId22">
        <w:r>
          <w:rPr>
            <w:rFonts w:ascii="Google Sans" w:eastAsia="Google Sans" w:hAnsi="Google Sans" w:cs="Google Sans"/>
            <w:color w:val="0000EE"/>
            <w:sz w:val="24"/>
            <w:szCs w:val="24"/>
            <w:u w:val="single"/>
          </w:rPr>
          <w:t>https://www.imf.org/es/News/Articles/2025/04/10/mcs-041025-spain-staff-concluding-statement-of-the-2025-article-iv-mission</w:t>
        </w:r>
      </w:hyperlink>
    </w:p>
    <w:p w14:paraId="19AC13C6" w14:textId="77777777" w:rsidR="00DF08CE" w:rsidRDefault="00000000">
      <w:pPr>
        <w:numPr>
          <w:ilvl w:val="0"/>
          <w:numId w:val="2"/>
        </w:numPr>
        <w:pBdr>
          <w:top w:val="nil"/>
          <w:left w:val="nil"/>
          <w:bottom w:val="nil"/>
          <w:right w:val="nil"/>
          <w:between w:val="nil"/>
        </w:pBdr>
      </w:pPr>
      <w:r>
        <w:rPr>
          <w:rFonts w:ascii="Google Sans" w:eastAsia="Google Sans" w:hAnsi="Google Sans" w:cs="Google Sans"/>
          <w:sz w:val="24"/>
          <w:szCs w:val="24"/>
        </w:rPr>
        <w:t xml:space="preserve">IMF </w:t>
      </w:r>
      <w:proofErr w:type="spellStart"/>
      <w:r>
        <w:rPr>
          <w:rFonts w:ascii="Google Sans" w:eastAsia="Google Sans" w:hAnsi="Google Sans" w:cs="Google Sans"/>
          <w:sz w:val="24"/>
          <w:szCs w:val="24"/>
        </w:rPr>
        <w:t>Releases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July</w:t>
      </w:r>
      <w:proofErr w:type="spellEnd"/>
      <w:r>
        <w:rPr>
          <w:rFonts w:ascii="Google Sans" w:eastAsia="Google Sans" w:hAnsi="Google Sans" w:cs="Google Sans"/>
          <w:sz w:val="24"/>
          <w:szCs w:val="24"/>
        </w:rPr>
        <w:t xml:space="preserve"> 2025 </w:t>
      </w:r>
      <w:proofErr w:type="spellStart"/>
      <w:r>
        <w:rPr>
          <w:rFonts w:ascii="Google Sans" w:eastAsia="Google Sans" w:hAnsi="Google Sans" w:cs="Google Sans"/>
          <w:sz w:val="24"/>
          <w:szCs w:val="24"/>
        </w:rPr>
        <w:t>World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Economic</w:t>
      </w:r>
      <w:proofErr w:type="spellEnd"/>
      <w:r>
        <w:rPr>
          <w:rFonts w:ascii="Google Sans" w:eastAsia="Google Sans" w:hAnsi="Google Sans" w:cs="Google Sans"/>
          <w:sz w:val="24"/>
          <w:szCs w:val="24"/>
        </w:rPr>
        <w:t xml:space="preserve"> Outlook - </w:t>
      </w:r>
      <w:proofErr w:type="spellStart"/>
      <w:r>
        <w:rPr>
          <w:rFonts w:ascii="Google Sans" w:eastAsia="Google Sans" w:hAnsi="Google Sans" w:cs="Google Sans"/>
          <w:sz w:val="24"/>
          <w:szCs w:val="24"/>
        </w:rPr>
        <w:t>Ministry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Economy</w:t>
      </w:r>
      <w:proofErr w:type="spellEnd"/>
      <w:r>
        <w:rPr>
          <w:rFonts w:ascii="Google Sans" w:eastAsia="Google Sans" w:hAnsi="Google Sans" w:cs="Google Sans"/>
          <w:sz w:val="24"/>
          <w:szCs w:val="24"/>
        </w:rPr>
        <w:t xml:space="preserve"> and </w:t>
      </w:r>
      <w:proofErr w:type="spellStart"/>
      <w:r>
        <w:rPr>
          <w:rFonts w:ascii="Google Sans" w:eastAsia="Google Sans" w:hAnsi="Google Sans" w:cs="Google Sans"/>
          <w:sz w:val="24"/>
          <w:szCs w:val="24"/>
        </w:rPr>
        <w:t>Finance</w:t>
      </w:r>
      <w:proofErr w:type="spellEnd"/>
      <w:r>
        <w:rPr>
          <w:rFonts w:ascii="Google Sans" w:eastAsia="Google Sans" w:hAnsi="Google Sans" w:cs="Google Sans"/>
          <w:sz w:val="24"/>
          <w:szCs w:val="24"/>
        </w:rPr>
        <w:t xml:space="preserve">, fecha de acceso: agosto 19, 2025, </w:t>
      </w:r>
      <w:hyperlink r:id="rId23">
        <w:r>
          <w:rPr>
            <w:rFonts w:ascii="Google Sans" w:eastAsia="Google Sans" w:hAnsi="Google Sans" w:cs="Google Sans"/>
            <w:color w:val="0000EE"/>
            <w:sz w:val="24"/>
            <w:szCs w:val="24"/>
            <w:u w:val="single"/>
          </w:rPr>
          <w:t>https://english.moef.go.kr/pc/selectTbPressCenterDtl.do?boardCd=N0001&amp;seq=6214</w:t>
        </w:r>
      </w:hyperlink>
    </w:p>
    <w:p w14:paraId="797F5756" w14:textId="77777777" w:rsidR="00DF08CE" w:rsidRDefault="00000000">
      <w:pPr>
        <w:numPr>
          <w:ilvl w:val="0"/>
          <w:numId w:val="2"/>
        </w:numPr>
        <w:pBdr>
          <w:top w:val="nil"/>
          <w:left w:val="nil"/>
          <w:bottom w:val="nil"/>
          <w:right w:val="nil"/>
          <w:between w:val="nil"/>
        </w:pBdr>
      </w:pPr>
      <w:r>
        <w:rPr>
          <w:rFonts w:ascii="Google Sans" w:eastAsia="Google Sans" w:hAnsi="Google Sans" w:cs="Google Sans"/>
          <w:sz w:val="24"/>
          <w:szCs w:val="24"/>
        </w:rPr>
        <w:t xml:space="preserve">El FMI eleva las previsiones de crecimiento de España al 2,5% pese a la guerra comercial, fecha de acceso: agosto 19, 2025, </w:t>
      </w:r>
      <w:hyperlink r:id="rId24">
        <w:r>
          <w:rPr>
            <w:rFonts w:ascii="Google Sans" w:eastAsia="Google Sans" w:hAnsi="Google Sans" w:cs="Google Sans"/>
            <w:color w:val="0000EE"/>
            <w:sz w:val="24"/>
            <w:szCs w:val="24"/>
            <w:u w:val="single"/>
          </w:rPr>
          <w:t>https://elpais.com/economia/2025-04-10/el-fmi-eleva-las-previsiones-de-crecimiento-de-espana-al-25-pese-a-la-guerra-comercial.html</w:t>
        </w:r>
      </w:hyperlink>
    </w:p>
    <w:p w14:paraId="2546783A" w14:textId="77777777" w:rsidR="00DF08CE" w:rsidRDefault="00000000">
      <w:pPr>
        <w:numPr>
          <w:ilvl w:val="0"/>
          <w:numId w:val="2"/>
        </w:numPr>
        <w:pBdr>
          <w:top w:val="nil"/>
          <w:left w:val="nil"/>
          <w:bottom w:val="nil"/>
          <w:right w:val="nil"/>
          <w:between w:val="nil"/>
        </w:pBdr>
      </w:pPr>
      <w:r>
        <w:rPr>
          <w:rFonts w:ascii="Google Sans" w:eastAsia="Google Sans" w:hAnsi="Google Sans" w:cs="Google Sans"/>
          <w:sz w:val="24"/>
          <w:szCs w:val="24"/>
        </w:rPr>
        <w:t xml:space="preserve">Perspectivas económicas 2025 y 2026 de la OCDE | Blog Bankinter, fecha de acceso: agosto 19, 2025, </w:t>
      </w:r>
      <w:hyperlink r:id="rId25">
        <w:r>
          <w:rPr>
            <w:rFonts w:ascii="Google Sans" w:eastAsia="Google Sans" w:hAnsi="Google Sans" w:cs="Google Sans"/>
            <w:color w:val="0000EE"/>
            <w:sz w:val="24"/>
            <w:szCs w:val="24"/>
            <w:u w:val="single"/>
          </w:rPr>
          <w:t>https://www.bankinter.com/blog/mercados/perspectivas-economicas-ocde</w:t>
        </w:r>
      </w:hyperlink>
    </w:p>
    <w:p w14:paraId="1B7F17D3" w14:textId="77777777" w:rsidR="00DF08CE" w:rsidRDefault="00000000">
      <w:pPr>
        <w:numPr>
          <w:ilvl w:val="0"/>
          <w:numId w:val="2"/>
        </w:numPr>
        <w:pBdr>
          <w:top w:val="nil"/>
          <w:left w:val="nil"/>
          <w:bottom w:val="nil"/>
          <w:right w:val="nil"/>
          <w:between w:val="nil"/>
        </w:pBdr>
      </w:pPr>
      <w:proofErr w:type="spellStart"/>
      <w:r>
        <w:rPr>
          <w:rFonts w:ascii="Google Sans" w:eastAsia="Google Sans" w:hAnsi="Google Sans" w:cs="Google Sans"/>
          <w:sz w:val="24"/>
          <w:szCs w:val="24"/>
        </w:rPr>
        <w:t>Macroeconomic</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projections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European</w:t>
      </w:r>
      <w:proofErr w:type="spellEnd"/>
      <w:r>
        <w:rPr>
          <w:rFonts w:ascii="Google Sans" w:eastAsia="Google Sans" w:hAnsi="Google Sans" w:cs="Google Sans"/>
          <w:sz w:val="24"/>
          <w:szCs w:val="24"/>
        </w:rPr>
        <w:t xml:space="preserve"> Central Bank, fecha de acceso: agosto 19, 2025, </w:t>
      </w:r>
      <w:hyperlink r:id="rId26">
        <w:r>
          <w:rPr>
            <w:rFonts w:ascii="Google Sans" w:eastAsia="Google Sans" w:hAnsi="Google Sans" w:cs="Google Sans"/>
            <w:color w:val="0000EE"/>
            <w:sz w:val="24"/>
            <w:szCs w:val="24"/>
            <w:u w:val="single"/>
          </w:rPr>
          <w:t>https://www.ecb.europa.eu/press/projections/html/index.en.html</w:t>
        </w:r>
      </w:hyperlink>
    </w:p>
    <w:p w14:paraId="75C1A974" w14:textId="77777777" w:rsidR="00DF08CE" w:rsidRDefault="00000000">
      <w:pPr>
        <w:numPr>
          <w:ilvl w:val="0"/>
          <w:numId w:val="2"/>
        </w:numPr>
        <w:pBdr>
          <w:top w:val="nil"/>
          <w:left w:val="nil"/>
          <w:bottom w:val="nil"/>
          <w:right w:val="nil"/>
          <w:between w:val="nil"/>
        </w:pBdr>
      </w:pPr>
      <w:r>
        <w:rPr>
          <w:rFonts w:ascii="Google Sans" w:eastAsia="Google Sans" w:hAnsi="Google Sans" w:cs="Google Sans"/>
          <w:sz w:val="24"/>
          <w:szCs w:val="24"/>
        </w:rPr>
        <w:t xml:space="preserve">El Banco de España revisa sus previsiones del PIB para 2025 y 2026 - Bankinter, fecha de acceso: agosto 19, 2025, </w:t>
      </w:r>
      <w:hyperlink r:id="rId27">
        <w:r>
          <w:rPr>
            <w:rFonts w:ascii="Google Sans" w:eastAsia="Google Sans" w:hAnsi="Google Sans" w:cs="Google Sans"/>
            <w:color w:val="0000EE"/>
            <w:sz w:val="24"/>
            <w:szCs w:val="24"/>
            <w:u w:val="single"/>
          </w:rPr>
          <w:t>https://www.bankinter.com/blog/mercados/prevision-pib-banco-espana</w:t>
        </w:r>
      </w:hyperlink>
    </w:p>
    <w:p w14:paraId="218EC300" w14:textId="77777777" w:rsidR="00DF08CE" w:rsidRDefault="00000000">
      <w:pPr>
        <w:numPr>
          <w:ilvl w:val="0"/>
          <w:numId w:val="2"/>
        </w:numPr>
        <w:pBdr>
          <w:top w:val="nil"/>
          <w:left w:val="nil"/>
          <w:bottom w:val="nil"/>
          <w:right w:val="nil"/>
          <w:between w:val="nil"/>
        </w:pBdr>
      </w:pPr>
      <w:r>
        <w:rPr>
          <w:rFonts w:ascii="Google Sans" w:eastAsia="Google Sans" w:hAnsi="Google Sans" w:cs="Google Sans"/>
          <w:sz w:val="24"/>
          <w:szCs w:val="24"/>
        </w:rPr>
        <w:t xml:space="preserve">GDP </w:t>
      </w:r>
      <w:proofErr w:type="spellStart"/>
      <w:r>
        <w:rPr>
          <w:rFonts w:ascii="Google Sans" w:eastAsia="Google Sans" w:hAnsi="Google Sans" w:cs="Google Sans"/>
          <w:sz w:val="24"/>
          <w:szCs w:val="24"/>
        </w:rPr>
        <w:t>international</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comparisons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Economic</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indicators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House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Commons</w:t>
      </w:r>
      <w:proofErr w:type="spellEnd"/>
      <w:r>
        <w:rPr>
          <w:rFonts w:ascii="Google Sans" w:eastAsia="Google Sans" w:hAnsi="Google Sans" w:cs="Google Sans"/>
          <w:sz w:val="24"/>
          <w:szCs w:val="24"/>
        </w:rPr>
        <w:t xml:space="preserve"> Library, fecha de acceso: agosto 19, 2025, </w:t>
      </w:r>
      <w:hyperlink r:id="rId28">
        <w:r>
          <w:rPr>
            <w:rFonts w:ascii="Google Sans" w:eastAsia="Google Sans" w:hAnsi="Google Sans" w:cs="Google Sans"/>
            <w:color w:val="0000EE"/>
            <w:sz w:val="24"/>
            <w:szCs w:val="24"/>
            <w:u w:val="single"/>
          </w:rPr>
          <w:t>https://commonslibrary.parliament.uk/research-briefings/sn02784/</w:t>
        </w:r>
      </w:hyperlink>
    </w:p>
    <w:p w14:paraId="7CDB9437" w14:textId="77777777" w:rsidR="00DF08CE" w:rsidRDefault="00000000">
      <w:pPr>
        <w:numPr>
          <w:ilvl w:val="0"/>
          <w:numId w:val="2"/>
        </w:numPr>
        <w:pBdr>
          <w:top w:val="nil"/>
          <w:left w:val="nil"/>
          <w:bottom w:val="nil"/>
          <w:right w:val="nil"/>
          <w:between w:val="nil"/>
        </w:pBdr>
      </w:pPr>
      <w:r>
        <w:rPr>
          <w:rFonts w:ascii="Google Sans" w:eastAsia="Google Sans" w:hAnsi="Google Sans" w:cs="Google Sans"/>
          <w:sz w:val="24"/>
          <w:szCs w:val="24"/>
        </w:rPr>
        <w:t xml:space="preserve">www.oecd.org, fecha de acceso: agosto 19, 2025, </w:t>
      </w:r>
      <w:hyperlink r:id="rId29" w:anchor=":~:text=On%20the%20assumption%20that%20tariff,trade%20barriers%20and%20policy%20uncertainty.">
        <w:r>
          <w:rPr>
            <w:rFonts w:ascii="Google Sans" w:eastAsia="Google Sans" w:hAnsi="Google Sans" w:cs="Google Sans"/>
            <w:color w:val="0000EE"/>
            <w:sz w:val="24"/>
            <w:szCs w:val="24"/>
            <w:u w:val="single"/>
          </w:rPr>
          <w:t>https://www.oecd.org/en/topics/sub-issues/economic-outlook.html#:~:text=On%20the%20assumption%20that%20tariff,trade%20barriers%20and%20policy%20uncertainty.</w:t>
        </w:r>
      </w:hyperlink>
    </w:p>
    <w:p w14:paraId="0ED1EB2F" w14:textId="77777777" w:rsidR="00DF08CE" w:rsidRDefault="00000000">
      <w:pPr>
        <w:numPr>
          <w:ilvl w:val="0"/>
          <w:numId w:val="2"/>
        </w:numPr>
        <w:pBdr>
          <w:top w:val="nil"/>
          <w:left w:val="nil"/>
          <w:bottom w:val="nil"/>
          <w:right w:val="nil"/>
          <w:between w:val="nil"/>
        </w:pBdr>
      </w:pPr>
      <w:r>
        <w:rPr>
          <w:rFonts w:ascii="Google Sans" w:eastAsia="Google Sans" w:hAnsi="Google Sans" w:cs="Google Sans"/>
          <w:sz w:val="24"/>
          <w:szCs w:val="24"/>
        </w:rPr>
        <w:t xml:space="preserve">Global </w:t>
      </w:r>
      <w:proofErr w:type="spellStart"/>
      <w:r>
        <w:rPr>
          <w:rFonts w:ascii="Google Sans" w:eastAsia="Google Sans" w:hAnsi="Google Sans" w:cs="Google Sans"/>
          <w:sz w:val="24"/>
          <w:szCs w:val="24"/>
        </w:rPr>
        <w:t>Economic</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Prospects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World</w:t>
      </w:r>
      <w:proofErr w:type="spellEnd"/>
      <w:r>
        <w:rPr>
          <w:rFonts w:ascii="Google Sans" w:eastAsia="Google Sans" w:hAnsi="Google Sans" w:cs="Google Sans"/>
          <w:sz w:val="24"/>
          <w:szCs w:val="24"/>
        </w:rPr>
        <w:t xml:space="preserve"> Bank, fecha de acceso: agosto 19, 2025, </w:t>
      </w:r>
      <w:hyperlink r:id="rId30">
        <w:r>
          <w:rPr>
            <w:rFonts w:ascii="Google Sans" w:eastAsia="Google Sans" w:hAnsi="Google Sans" w:cs="Google Sans"/>
            <w:color w:val="0000EE"/>
            <w:sz w:val="24"/>
            <w:szCs w:val="24"/>
            <w:u w:val="single"/>
          </w:rPr>
          <w:t>https://www.worldbank.org/en/publication/global-economic-prospects</w:t>
        </w:r>
      </w:hyperlink>
    </w:p>
    <w:p w14:paraId="26381E73" w14:textId="77777777" w:rsidR="00DF08CE" w:rsidRDefault="00000000">
      <w:pPr>
        <w:numPr>
          <w:ilvl w:val="0"/>
          <w:numId w:val="2"/>
        </w:numPr>
        <w:pBdr>
          <w:top w:val="nil"/>
          <w:left w:val="nil"/>
          <w:bottom w:val="nil"/>
          <w:right w:val="nil"/>
          <w:between w:val="nil"/>
        </w:pBdr>
      </w:pPr>
      <w:proofErr w:type="spellStart"/>
      <w:r>
        <w:rPr>
          <w:rFonts w:ascii="Google Sans" w:eastAsia="Google Sans" w:hAnsi="Google Sans" w:cs="Google Sans"/>
          <w:sz w:val="24"/>
          <w:szCs w:val="24"/>
        </w:rPr>
        <w:t>World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Economic</w:t>
      </w:r>
      <w:proofErr w:type="spellEnd"/>
      <w:r>
        <w:rPr>
          <w:rFonts w:ascii="Google Sans" w:eastAsia="Google Sans" w:hAnsi="Google Sans" w:cs="Google Sans"/>
          <w:sz w:val="24"/>
          <w:szCs w:val="24"/>
        </w:rPr>
        <w:t xml:space="preserve"> Outlook - </w:t>
      </w:r>
      <w:proofErr w:type="spellStart"/>
      <w:r>
        <w:rPr>
          <w:rFonts w:ascii="Google Sans" w:eastAsia="Google Sans" w:hAnsi="Google Sans" w:cs="Google Sans"/>
          <w:sz w:val="24"/>
          <w:szCs w:val="24"/>
        </w:rPr>
        <w:t>All</w:t>
      </w:r>
      <w:proofErr w:type="spellEnd"/>
      <w:r>
        <w:rPr>
          <w:rFonts w:ascii="Google Sans" w:eastAsia="Google Sans" w:hAnsi="Google Sans" w:cs="Google Sans"/>
          <w:sz w:val="24"/>
          <w:szCs w:val="24"/>
        </w:rPr>
        <w:t xml:space="preserve"> Issues - International </w:t>
      </w:r>
      <w:proofErr w:type="spellStart"/>
      <w:r>
        <w:rPr>
          <w:rFonts w:ascii="Google Sans" w:eastAsia="Google Sans" w:hAnsi="Google Sans" w:cs="Google Sans"/>
          <w:sz w:val="24"/>
          <w:szCs w:val="24"/>
        </w:rPr>
        <w:t>Monetary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Fund</w:t>
      </w:r>
      <w:proofErr w:type="spellEnd"/>
      <w:r>
        <w:rPr>
          <w:rFonts w:ascii="Google Sans" w:eastAsia="Google Sans" w:hAnsi="Google Sans" w:cs="Google Sans"/>
          <w:sz w:val="24"/>
          <w:szCs w:val="24"/>
        </w:rPr>
        <w:t xml:space="preserve"> (IMF), fecha de acceso: agosto 19, 2025, </w:t>
      </w:r>
      <w:hyperlink r:id="rId31">
        <w:r>
          <w:rPr>
            <w:rFonts w:ascii="Google Sans" w:eastAsia="Google Sans" w:hAnsi="Google Sans" w:cs="Google Sans"/>
            <w:color w:val="0000EE"/>
            <w:sz w:val="24"/>
            <w:szCs w:val="24"/>
            <w:u w:val="single"/>
          </w:rPr>
          <w:t>https://www.imf.org/en/Publications/WEO</w:t>
        </w:r>
      </w:hyperlink>
    </w:p>
    <w:p w14:paraId="51F4FA58" w14:textId="77777777" w:rsidR="00DF08CE" w:rsidRDefault="00000000">
      <w:pPr>
        <w:numPr>
          <w:ilvl w:val="0"/>
          <w:numId w:val="2"/>
        </w:numPr>
        <w:pBdr>
          <w:top w:val="nil"/>
          <w:left w:val="nil"/>
          <w:bottom w:val="nil"/>
          <w:right w:val="nil"/>
          <w:between w:val="nil"/>
        </w:pBdr>
      </w:pPr>
      <w:r>
        <w:rPr>
          <w:rFonts w:ascii="Google Sans" w:eastAsia="Google Sans" w:hAnsi="Google Sans" w:cs="Google Sans"/>
          <w:sz w:val="24"/>
          <w:szCs w:val="24"/>
        </w:rPr>
        <w:t xml:space="preserve">ECB </w:t>
      </w:r>
      <w:proofErr w:type="spellStart"/>
      <w:r>
        <w:rPr>
          <w:rFonts w:ascii="Google Sans" w:eastAsia="Google Sans" w:hAnsi="Google Sans" w:cs="Google Sans"/>
          <w:sz w:val="24"/>
          <w:szCs w:val="24"/>
        </w:rPr>
        <w:t>interest-rate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forecasts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Projections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for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next</w:t>
      </w:r>
      <w:proofErr w:type="spellEnd"/>
      <w:r>
        <w:rPr>
          <w:rFonts w:ascii="Google Sans" w:eastAsia="Google Sans" w:hAnsi="Google Sans" w:cs="Google Sans"/>
          <w:sz w:val="24"/>
          <w:szCs w:val="24"/>
        </w:rPr>
        <w:t xml:space="preserve"> 5 </w:t>
      </w:r>
      <w:proofErr w:type="spellStart"/>
      <w:r>
        <w:rPr>
          <w:rFonts w:ascii="Google Sans" w:eastAsia="Google Sans" w:hAnsi="Google Sans" w:cs="Google Sans"/>
          <w:sz w:val="24"/>
          <w:szCs w:val="24"/>
        </w:rPr>
        <w:t>years</w:t>
      </w:r>
      <w:proofErr w:type="spellEnd"/>
      <w:r>
        <w:rPr>
          <w:rFonts w:ascii="Google Sans" w:eastAsia="Google Sans" w:hAnsi="Google Sans" w:cs="Google Sans"/>
          <w:sz w:val="24"/>
          <w:szCs w:val="24"/>
        </w:rPr>
        <w:t xml:space="preserve"> | Capital.com EU, fecha de acceso: agosto 19, 2025, </w:t>
      </w:r>
      <w:hyperlink r:id="rId32">
        <w:r>
          <w:rPr>
            <w:rFonts w:ascii="Google Sans" w:eastAsia="Google Sans" w:hAnsi="Google Sans" w:cs="Google Sans"/>
            <w:color w:val="0000EE"/>
            <w:sz w:val="24"/>
            <w:szCs w:val="24"/>
            <w:u w:val="single"/>
          </w:rPr>
          <w:t>https://capital.com/en-eu/analysis/projected-ecb-rate-rise-in-5-years</w:t>
        </w:r>
      </w:hyperlink>
    </w:p>
    <w:p w14:paraId="3E34D045" w14:textId="77777777" w:rsidR="00DF08CE" w:rsidRDefault="00000000">
      <w:pPr>
        <w:numPr>
          <w:ilvl w:val="0"/>
          <w:numId w:val="2"/>
        </w:numPr>
        <w:pBdr>
          <w:top w:val="nil"/>
          <w:left w:val="nil"/>
          <w:bottom w:val="nil"/>
          <w:right w:val="nil"/>
          <w:between w:val="nil"/>
        </w:pBdr>
      </w:pPr>
      <w:r>
        <w:rPr>
          <w:rFonts w:ascii="Google Sans" w:eastAsia="Google Sans" w:hAnsi="Google Sans" w:cs="Google Sans"/>
          <w:sz w:val="24"/>
          <w:szCs w:val="24"/>
        </w:rPr>
        <w:t xml:space="preserve">ECB staff </w:t>
      </w:r>
      <w:proofErr w:type="spellStart"/>
      <w:r>
        <w:rPr>
          <w:rFonts w:ascii="Google Sans" w:eastAsia="Google Sans" w:hAnsi="Google Sans" w:cs="Google Sans"/>
          <w:sz w:val="24"/>
          <w:szCs w:val="24"/>
        </w:rPr>
        <w:t>macroeconomic</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projections</w:t>
      </w:r>
      <w:proofErr w:type="spellEnd"/>
      <w:r>
        <w:rPr>
          <w:rFonts w:ascii="Google Sans" w:eastAsia="Google Sans" w:hAnsi="Google Sans" w:cs="Google Sans"/>
          <w:sz w:val="24"/>
          <w:szCs w:val="24"/>
        </w:rPr>
        <w:t xml:space="preserve"> | Banque de France, fecha de acceso: agosto 19, 2025, </w:t>
      </w:r>
      <w:hyperlink r:id="rId33">
        <w:r>
          <w:rPr>
            <w:rFonts w:ascii="Google Sans" w:eastAsia="Google Sans" w:hAnsi="Google Sans" w:cs="Google Sans"/>
            <w:color w:val="0000EE"/>
            <w:sz w:val="24"/>
            <w:szCs w:val="24"/>
            <w:u w:val="single"/>
          </w:rPr>
          <w:t>https://www.banque-france.fr/en/press-release/ecb-staff-macroeconomic-projections</w:t>
        </w:r>
      </w:hyperlink>
    </w:p>
    <w:p w14:paraId="0B26B9CA" w14:textId="77777777" w:rsidR="00DF08CE" w:rsidRDefault="00000000">
      <w:pPr>
        <w:numPr>
          <w:ilvl w:val="0"/>
          <w:numId w:val="2"/>
        </w:numPr>
        <w:pBdr>
          <w:top w:val="nil"/>
          <w:left w:val="nil"/>
          <w:bottom w:val="nil"/>
          <w:right w:val="nil"/>
          <w:between w:val="nil"/>
        </w:pBdr>
      </w:pP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Conference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Board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Economic</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Forecast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for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w:t>
      </w:r>
      <w:proofErr w:type="gramStart"/>
      <w:r>
        <w:rPr>
          <w:rFonts w:ascii="Google Sans" w:eastAsia="Google Sans" w:hAnsi="Google Sans" w:cs="Google Sans"/>
          <w:sz w:val="24"/>
          <w:szCs w:val="24"/>
        </w:rPr>
        <w:t>Euro</w:t>
      </w:r>
      <w:proofErr w:type="gram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Area</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Economy</w:t>
      </w:r>
      <w:proofErr w:type="spellEnd"/>
      <w:r>
        <w:rPr>
          <w:rFonts w:ascii="Google Sans" w:eastAsia="Google Sans" w:hAnsi="Google Sans" w:cs="Google Sans"/>
          <w:sz w:val="24"/>
          <w:szCs w:val="24"/>
        </w:rPr>
        <w:t xml:space="preserve">, fecha de acceso: agosto 19, 2025, </w:t>
      </w:r>
      <w:hyperlink r:id="rId34">
        <w:r>
          <w:rPr>
            <w:rFonts w:ascii="Google Sans" w:eastAsia="Google Sans" w:hAnsi="Google Sans" w:cs="Google Sans"/>
            <w:color w:val="0000EE"/>
            <w:sz w:val="24"/>
            <w:szCs w:val="24"/>
            <w:u w:val="single"/>
          </w:rPr>
          <w:t>https://www.conference-board.org/publications/eur-forecast</w:t>
        </w:r>
      </w:hyperlink>
    </w:p>
    <w:p w14:paraId="67B2423D" w14:textId="77777777" w:rsidR="00DF08CE" w:rsidRDefault="00000000">
      <w:pPr>
        <w:numPr>
          <w:ilvl w:val="0"/>
          <w:numId w:val="2"/>
        </w:numPr>
        <w:pBdr>
          <w:top w:val="nil"/>
          <w:left w:val="nil"/>
          <w:bottom w:val="nil"/>
          <w:right w:val="nil"/>
          <w:between w:val="nil"/>
        </w:pBdr>
      </w:pPr>
      <w:r>
        <w:rPr>
          <w:rFonts w:ascii="Google Sans" w:eastAsia="Google Sans" w:hAnsi="Google Sans" w:cs="Google Sans"/>
          <w:sz w:val="24"/>
          <w:szCs w:val="24"/>
        </w:rPr>
        <w:t xml:space="preserve">El FMI eleva hasta el 2,5% las previsiones de crecimiento de España este 2025 pese a la guerra de aranceles - RTVE.es, fecha de acceso: agosto 19, 2025, </w:t>
      </w:r>
      <w:hyperlink r:id="rId35">
        <w:r>
          <w:rPr>
            <w:rFonts w:ascii="Google Sans" w:eastAsia="Google Sans" w:hAnsi="Google Sans" w:cs="Google Sans"/>
            <w:color w:val="0000EE"/>
            <w:sz w:val="24"/>
            <w:szCs w:val="24"/>
            <w:u w:val="single"/>
          </w:rPr>
          <w:t>https://www.rtve.es/noticias/20250410/fmi-mejora-dos-decimas-hasta-25-previsiones-crecimiento-economia-espanola-2025/16535834.shtml</w:t>
        </w:r>
      </w:hyperlink>
    </w:p>
    <w:p w14:paraId="3CA3FF6B" w14:textId="77777777" w:rsidR="00DF08CE" w:rsidRDefault="00000000">
      <w:pPr>
        <w:numPr>
          <w:ilvl w:val="0"/>
          <w:numId w:val="2"/>
        </w:numPr>
        <w:pBdr>
          <w:top w:val="nil"/>
          <w:left w:val="nil"/>
          <w:bottom w:val="nil"/>
          <w:right w:val="nil"/>
          <w:between w:val="nil"/>
        </w:pBdr>
      </w:pPr>
      <w:r>
        <w:rPr>
          <w:rFonts w:ascii="Google Sans" w:eastAsia="Google Sans" w:hAnsi="Google Sans" w:cs="Google Sans"/>
          <w:sz w:val="24"/>
          <w:szCs w:val="24"/>
        </w:rPr>
        <w:t xml:space="preserve">La OCDE rebaja dos décimas la previsión de crecimiento de España en 2025 y 2026 por la guerra comercial - RTVE.es, fecha de acceso: agosto 19, 2025, </w:t>
      </w:r>
      <w:hyperlink r:id="rId36">
        <w:r>
          <w:rPr>
            <w:rFonts w:ascii="Google Sans" w:eastAsia="Google Sans" w:hAnsi="Google Sans" w:cs="Google Sans"/>
            <w:color w:val="0000EE"/>
            <w:sz w:val="24"/>
            <w:szCs w:val="24"/>
            <w:u w:val="single"/>
          </w:rPr>
          <w:t>https://www.rtve.es/noticias/20250603/ocde-prevision-crecimiento-espana/16607734.shtml</w:t>
        </w:r>
      </w:hyperlink>
    </w:p>
    <w:p w14:paraId="7A8A7CDE" w14:textId="77777777" w:rsidR="00DF08CE" w:rsidRDefault="00000000">
      <w:pPr>
        <w:numPr>
          <w:ilvl w:val="0"/>
          <w:numId w:val="2"/>
        </w:numPr>
        <w:pBdr>
          <w:top w:val="nil"/>
          <w:left w:val="nil"/>
          <w:bottom w:val="nil"/>
          <w:right w:val="nil"/>
          <w:between w:val="nil"/>
        </w:pBdr>
      </w:pPr>
      <w:r>
        <w:rPr>
          <w:rFonts w:ascii="Google Sans" w:eastAsia="Google Sans" w:hAnsi="Google Sans" w:cs="Google Sans"/>
          <w:sz w:val="24"/>
          <w:szCs w:val="24"/>
        </w:rPr>
        <w:t xml:space="preserve">Proyecciones macroeconómicas de España 2025-2027, fecha de acceso: agosto 19, 2025, </w:t>
      </w:r>
      <w:hyperlink r:id="rId37">
        <w:r>
          <w:rPr>
            <w:rFonts w:ascii="Google Sans" w:eastAsia="Google Sans" w:hAnsi="Google Sans" w:cs="Google Sans"/>
            <w:color w:val="0000EE"/>
            <w:sz w:val="24"/>
            <w:szCs w:val="24"/>
            <w:u w:val="single"/>
          </w:rPr>
          <w:t>https://www.bde.es/f/webbe/SES/Secciones/Publicaciones/InformesBoletinesRevistas/BoletinEconomico/25/T1/Fich/IIPP-2025-03-11-gavilan-es-or.pdf</w:t>
        </w:r>
      </w:hyperlink>
    </w:p>
    <w:sectPr w:rsidR="00DF08CE">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CF5D82A5-EC3B-42CF-AF86-5FD165A0DBD3}"/>
    <w:embedItalic r:id="rId2" w:fontKey="{C26222F2-E70E-42A0-85A3-914FCC739C15}"/>
  </w:font>
  <w:font w:name="Google Sans">
    <w:charset w:val="00"/>
    <w:family w:val="auto"/>
    <w:pitch w:val="default"/>
    <w:embedRegular r:id="rId3" w:fontKey="{85DEA199-FEFB-460C-ACFA-B7479C573DDD}"/>
    <w:embedBold r:id="rId4" w:fontKey="{40002EC3-4820-4BFE-9097-6F8F061FC92E}"/>
  </w:font>
  <w:font w:name="Google Sans Text">
    <w:altName w:val="Calibri"/>
    <w:charset w:val="00"/>
    <w:family w:val="auto"/>
    <w:pitch w:val="default"/>
    <w:embedRegular r:id="rId5" w:fontKey="{BDF82B4D-6586-4A3E-9FBC-B3F2D97D127B}"/>
    <w:embedBold r:id="rId6" w:fontKey="{CD0FB59A-2908-4BB9-975F-7A96721F6D5D}"/>
    <w:embedItalic r:id="rId7" w:fontKey="{2DA3E33E-EF81-4127-BE01-DE77755301BC}"/>
  </w:font>
  <w:font w:name="Calibri">
    <w:panose1 w:val="020F0502020204030204"/>
    <w:charset w:val="00"/>
    <w:family w:val="swiss"/>
    <w:pitch w:val="variable"/>
    <w:sig w:usb0="E4002EFF" w:usb1="C200247B" w:usb2="00000009" w:usb3="00000000" w:csb0="000001FF" w:csb1="00000000"/>
    <w:embedRegular r:id="rId8" w:fontKey="{9EB53AFC-D0A3-4C1C-A280-753BC9CBB18A}"/>
  </w:font>
  <w:font w:name="Cambria">
    <w:panose1 w:val="02040503050406030204"/>
    <w:charset w:val="00"/>
    <w:family w:val="roman"/>
    <w:pitch w:val="variable"/>
    <w:sig w:usb0="E00006FF" w:usb1="420024FF" w:usb2="02000000" w:usb3="00000000" w:csb0="0000019F" w:csb1="00000000"/>
    <w:embedRegular r:id="rId9" w:fontKey="{BBF3E9CB-3F99-4D7C-93D9-2ECDE8A737DD}"/>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FD196E"/>
    <w:multiLevelType w:val="multilevel"/>
    <w:tmpl w:val="AAD4F9BE"/>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5B64525B"/>
    <w:multiLevelType w:val="multilevel"/>
    <w:tmpl w:val="482C4A6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265073627">
    <w:abstractNumId w:val="1"/>
  </w:num>
  <w:num w:numId="2" w16cid:durableId="12828808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08CE"/>
    <w:rsid w:val="004E05D4"/>
    <w:rsid w:val="006F677E"/>
    <w:rsid w:val="00DF08C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6E7FE5"/>
  <w15:docId w15:val="{3C6AC239-4435-49BE-92D1-1E53BA75D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Ttulo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Ttulo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Ttulo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bankinter.com/blog/mercados/perspectivas-economicas-ocde" TargetMode="External"/><Relationship Id="rId18" Type="http://schemas.openxmlformats.org/officeDocument/2006/relationships/hyperlink" Target="https://apnews.com/article/imf-world-economy-trump-tariff-china-f384c9c165b0c7152edb53d66a9ebd6b" TargetMode="External"/><Relationship Id="rId26" Type="http://schemas.openxmlformats.org/officeDocument/2006/relationships/hyperlink" Target="https://www.ecb.europa.eu/press/projections/html/index.en.html" TargetMode="External"/><Relationship Id="rId39" Type="http://schemas.openxmlformats.org/officeDocument/2006/relationships/theme" Target="theme/theme1.xml"/><Relationship Id="rId21" Type="http://schemas.openxmlformats.org/officeDocument/2006/relationships/hyperlink" Target="https://www.oecd.org/en/publications/oecd-economic-outlook-volume-2025-issue-1_83363382-en.html" TargetMode="External"/><Relationship Id="rId34" Type="http://schemas.openxmlformats.org/officeDocument/2006/relationships/hyperlink" Target="https://www.conference-board.org/publications/eur-forecast" TargetMode="External"/><Relationship Id="rId7" Type="http://schemas.openxmlformats.org/officeDocument/2006/relationships/hyperlink" Target="https://apnews.com/article/imf-world-economy-trump-tariff-china-f384c9c165b0c7152edb53d66a9ebd6b" TargetMode="External"/><Relationship Id="rId12" Type="http://schemas.openxmlformats.org/officeDocument/2006/relationships/hyperlink" Target="https://www.bankinter.com/blog/mercados/perspectivas-economicas-ocde" TargetMode="External"/><Relationship Id="rId17" Type="http://schemas.openxmlformats.org/officeDocument/2006/relationships/hyperlink" Target="https://www.bankinter.com/blog/mercados/prevision-pib-banco-espana" TargetMode="External"/><Relationship Id="rId25" Type="http://schemas.openxmlformats.org/officeDocument/2006/relationships/hyperlink" Target="https://www.bankinter.com/blog/mercados/perspectivas-economicas-ocde" TargetMode="External"/><Relationship Id="rId33" Type="http://schemas.openxmlformats.org/officeDocument/2006/relationships/hyperlink" Target="https://www.banque-france.fr/en/press-release/ecb-staff-macroeconomic-projections" TargetMode="Externa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bankinter.com/blog/mercados/prevision-pib-banco-espana" TargetMode="External"/><Relationship Id="rId20" Type="http://schemas.openxmlformats.org/officeDocument/2006/relationships/hyperlink" Target="https://www.youtube.com/watch?v=E-sUVQdcV3A&amp;pp=0gcJCf8Ao7VqN5tD" TargetMode="External"/><Relationship Id="rId29" Type="http://schemas.openxmlformats.org/officeDocument/2006/relationships/hyperlink" Target="https://www.oecd.org/en/topics/sub-issues/economic-outlook.html" TargetMode="External"/><Relationship Id="rId1" Type="http://schemas.openxmlformats.org/officeDocument/2006/relationships/numbering" Target="numbering.xml"/><Relationship Id="rId6" Type="http://schemas.openxmlformats.org/officeDocument/2006/relationships/hyperlink" Target="https://apnews.com/article/imf-world-economy-trump-tariff-china-f384c9c165b0c7152edb53d66a9ebd6b" TargetMode="External"/><Relationship Id="rId11" Type="http://schemas.openxmlformats.org/officeDocument/2006/relationships/hyperlink" Target="https://www.oecd.org/en/publications/oecd-economic-outlook-volume-2025-issue-1_83363382-en.html" TargetMode="External"/><Relationship Id="rId24" Type="http://schemas.openxmlformats.org/officeDocument/2006/relationships/hyperlink" Target="https://elpais.com/economia/2025-04-10/el-fmi-eleva-las-previsiones-de-crecimiento-de-espana-al-25-pese-a-la-guerra-comercial.html" TargetMode="External"/><Relationship Id="rId32" Type="http://schemas.openxmlformats.org/officeDocument/2006/relationships/hyperlink" Target="https://capital.com/en-eu/analysis/projected-ecb-rate-rise-in-5-years" TargetMode="External"/><Relationship Id="rId37" Type="http://schemas.openxmlformats.org/officeDocument/2006/relationships/hyperlink" Target="https://www.bde.es/f/webbe/SES/Secciones/Publicaciones/InformesBoletinesRevistas/BoletinEconomico/25/T1/Fich/IIPP-2025-03-11-gavilan-es-or.pdf" TargetMode="External"/><Relationship Id="rId5" Type="http://schemas.openxmlformats.org/officeDocument/2006/relationships/hyperlink" Target="https://apnews.com/article/imf-world-economy-trump-tariff-china-f384c9c165b0c7152edb53d66a9ebd6b" TargetMode="External"/><Relationship Id="rId15" Type="http://schemas.openxmlformats.org/officeDocument/2006/relationships/hyperlink" Target="https://www.ecb.europa.eu/press/projections/html/index.en.html" TargetMode="External"/><Relationship Id="rId23" Type="http://schemas.openxmlformats.org/officeDocument/2006/relationships/hyperlink" Target="https://english.moef.go.kr/pc/selectTbPressCenterDtl.do?boardCd=N0001&amp;seq=6214" TargetMode="External"/><Relationship Id="rId28" Type="http://schemas.openxmlformats.org/officeDocument/2006/relationships/hyperlink" Target="https://commonslibrary.parliament.uk/research-briefings/sn02784/" TargetMode="External"/><Relationship Id="rId36" Type="http://schemas.openxmlformats.org/officeDocument/2006/relationships/hyperlink" Target="https://www.rtve.es/noticias/20250603/ocde-prevision-crecimiento-espana/16607734.shtml" TargetMode="External"/><Relationship Id="rId10" Type="http://schemas.openxmlformats.org/officeDocument/2006/relationships/hyperlink" Target="https://www.bankinter.com/blog/mercados/perspectivas-economicas-ocde" TargetMode="External"/><Relationship Id="rId19" Type="http://schemas.openxmlformats.org/officeDocument/2006/relationships/hyperlink" Target="https://www.imf.org/-/media/Files/Publications/WEO/2025/update/july/english/text.ashx" TargetMode="External"/><Relationship Id="rId31" Type="http://schemas.openxmlformats.org/officeDocument/2006/relationships/hyperlink" Target="https://www.imf.org/en/Publications/WEO" TargetMode="External"/><Relationship Id="rId4" Type="http://schemas.openxmlformats.org/officeDocument/2006/relationships/webSettings" Target="webSettings.xml"/><Relationship Id="rId9" Type="http://schemas.openxmlformats.org/officeDocument/2006/relationships/hyperlink" Target="https://www.bankinter.com/blog/mercados/perspectivas-economicas-ocde" TargetMode="External"/><Relationship Id="rId14" Type="http://schemas.openxmlformats.org/officeDocument/2006/relationships/hyperlink" Target="https://www.ecb.europa.eu/press/projections/html/index.en.html" TargetMode="External"/><Relationship Id="rId22" Type="http://schemas.openxmlformats.org/officeDocument/2006/relationships/hyperlink" Target="https://www.imf.org/es/News/Articles/2025/04/10/mcs-041025-spain-staff-concluding-statement-of-the-2025-article-iv-mission" TargetMode="External"/><Relationship Id="rId27" Type="http://schemas.openxmlformats.org/officeDocument/2006/relationships/hyperlink" Target="https://www.bankinter.com/blog/mercados/prevision-pib-banco-espana" TargetMode="External"/><Relationship Id="rId30" Type="http://schemas.openxmlformats.org/officeDocument/2006/relationships/hyperlink" Target="https://www.worldbank.org/en/publication/global-economic-prospects" TargetMode="External"/><Relationship Id="rId35" Type="http://schemas.openxmlformats.org/officeDocument/2006/relationships/hyperlink" Target="https://www.rtve.es/noticias/20250410/fmi-mejora-dos-decimas-hasta-25-previsiones-crecimiento-economia-espanola-2025/16535834.shtml" TargetMode="External"/><Relationship Id="rId8" Type="http://schemas.openxmlformats.org/officeDocument/2006/relationships/hyperlink" Target="https://www.imf.org/es/News/Articles/2025/04/10/mcs-041025-spain-staff-concluding-statement-of-the-2025-article-iv-mission" TargetMode="Externa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Pages>
  <Words>4176</Words>
  <Characters>22971</Characters>
  <Application>Microsoft Office Word</Application>
  <DocSecurity>0</DocSecurity>
  <Lines>191</Lines>
  <Paragraphs>54</Paragraphs>
  <ScaleCrop>false</ScaleCrop>
  <Company/>
  <LinksUpToDate>false</LinksUpToDate>
  <CharactersWithSpaces>27093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Manuel Alejandro Hidalgo Perez</cp:lastModifiedBy>
  <cp:revision>2</cp:revision>
  <dcterms:created xsi:type="dcterms:W3CDTF">2025-08-20T14:34:00Z</dcterms:created>
  <dcterms:modified xsi:type="dcterms:W3CDTF">2025-08-20T14:34:00Z</dcterms:modified>
</cp:coreProperties>
</file>